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45" w:rsidRDefault="00802E45" w:rsidP="0009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E45" w:rsidRDefault="00093286" w:rsidP="0009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B9889C">
            <wp:extent cx="1225550" cy="932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E45" w:rsidRDefault="00802E45" w:rsidP="00802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E45" w:rsidRDefault="00802E45" w:rsidP="00802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E45" w:rsidRDefault="00802E45" w:rsidP="00802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E45" w:rsidRDefault="00802E45" w:rsidP="00802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E45" w:rsidRDefault="00802E45" w:rsidP="00802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E45" w:rsidRDefault="00802E45" w:rsidP="00802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E45" w:rsidRDefault="00802E45" w:rsidP="00802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E45" w:rsidRDefault="00802E45" w:rsidP="00802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E45" w:rsidRPr="00D032FA" w:rsidRDefault="00802E45" w:rsidP="00802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B6" w:rsidRDefault="006C22B6" w:rsidP="006C2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2B6" w:rsidRDefault="006C22B6" w:rsidP="006C2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2B6" w:rsidRPr="00D032FA" w:rsidRDefault="006C22B6" w:rsidP="006C2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E97" w:rsidRDefault="006C22B6" w:rsidP="006C2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2B6">
        <w:rPr>
          <w:rFonts w:ascii="Times New Roman" w:hAnsi="Times New Roman" w:cs="Times New Roman"/>
          <w:sz w:val="28"/>
          <w:szCs w:val="28"/>
        </w:rPr>
        <w:t>СРАВНИТЕЛЬНЫЙ АНАЛИЗ ДАННЫХ О РАСХОДАХ БЮДЖЕТОВ С</w:t>
      </w:r>
      <w:r w:rsidR="00B65E97">
        <w:rPr>
          <w:rFonts w:ascii="Times New Roman" w:hAnsi="Times New Roman" w:cs="Times New Roman"/>
          <w:sz w:val="28"/>
          <w:szCs w:val="28"/>
        </w:rPr>
        <w:t>УБЪЕКТОВ РФ НА СОЦИАЛЬНУЮ СФЕРУ</w:t>
      </w:r>
    </w:p>
    <w:p w:rsidR="006C22B6" w:rsidRPr="006C22B6" w:rsidRDefault="006C22B6" w:rsidP="006C2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2B6">
        <w:rPr>
          <w:rFonts w:ascii="Times New Roman" w:hAnsi="Times New Roman" w:cs="Times New Roman"/>
          <w:sz w:val="28"/>
          <w:szCs w:val="28"/>
        </w:rPr>
        <w:t>(</w:t>
      </w:r>
      <w:r w:rsidR="008029E5">
        <w:rPr>
          <w:rFonts w:ascii="Times New Roman" w:hAnsi="Times New Roman" w:cs="Times New Roman"/>
          <w:sz w:val="28"/>
          <w:szCs w:val="28"/>
        </w:rPr>
        <w:t>СОЦИАЛЬНАЯ ЗАЩИТА НАСЕЛЕНИЯ</w:t>
      </w:r>
      <w:r w:rsidRPr="006C22B6">
        <w:rPr>
          <w:rFonts w:ascii="Times New Roman" w:hAnsi="Times New Roman" w:cs="Times New Roman"/>
          <w:sz w:val="28"/>
          <w:szCs w:val="28"/>
        </w:rPr>
        <w:t>)</w:t>
      </w:r>
    </w:p>
    <w:p w:rsidR="006C22B6" w:rsidRDefault="006C22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1276695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8107CB" w:rsidRPr="00EF0289" w:rsidRDefault="008107CB">
          <w:pPr>
            <w:pStyle w:val="af1"/>
            <w:rPr>
              <w:sz w:val="26"/>
              <w:szCs w:val="26"/>
            </w:rPr>
          </w:pPr>
          <w:r w:rsidRPr="00EF0289">
            <w:rPr>
              <w:sz w:val="26"/>
              <w:szCs w:val="26"/>
            </w:rPr>
            <w:t>Оглавление</w:t>
          </w:r>
        </w:p>
        <w:p w:rsidR="00F5723B" w:rsidRDefault="00F5723B" w:rsidP="00F5723B">
          <w:pPr>
            <w:rPr>
              <w:rFonts w:ascii="Times New Roman" w:hAnsi="Times New Roman" w:cs="Times New Roman"/>
              <w:sz w:val="26"/>
              <w:szCs w:val="26"/>
              <w:lang w:eastAsia="ru-RU"/>
            </w:rPr>
          </w:pPr>
        </w:p>
        <w:p w:rsidR="00D931E3" w:rsidRDefault="00D931E3" w:rsidP="00F5723B">
          <w:pPr>
            <w:rPr>
              <w:rFonts w:ascii="Times New Roman" w:hAnsi="Times New Roman" w:cs="Times New Roman"/>
              <w:sz w:val="26"/>
              <w:szCs w:val="26"/>
              <w:lang w:eastAsia="ru-RU"/>
            </w:rPr>
          </w:pPr>
        </w:p>
        <w:p w:rsidR="00D931E3" w:rsidRPr="00EF0289" w:rsidRDefault="00D931E3" w:rsidP="00F5723B">
          <w:pPr>
            <w:rPr>
              <w:rFonts w:ascii="Times New Roman" w:hAnsi="Times New Roman" w:cs="Times New Roman"/>
              <w:sz w:val="26"/>
              <w:szCs w:val="26"/>
              <w:lang w:eastAsia="ru-RU"/>
            </w:rPr>
          </w:pPr>
        </w:p>
        <w:p w:rsidR="00285DB3" w:rsidRPr="00285DB3" w:rsidRDefault="008107C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6335F8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6335F8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6335F8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383442166" w:history="1">
            <w:r w:rsidR="00285DB3" w:rsidRPr="00285DB3">
              <w:rPr>
                <w:rStyle w:val="a9"/>
                <w:rFonts w:ascii="Times New Roman" w:hAnsi="Times New Roman" w:cs="Times New Roman"/>
                <w:i/>
                <w:noProof/>
                <w:sz w:val="26"/>
                <w:szCs w:val="26"/>
              </w:rPr>
              <w:t>Разграничение полномочий между органами государственной власти и органами местного самоуправления в Российской Федерации в сфере социальной защиты населения и финансовое обеспечение этих полномочий</w:t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_Toc383442166 \h </w:instrText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85DB3" w:rsidRPr="00285DB3" w:rsidRDefault="0009328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83442167" w:history="1">
            <w:r w:rsidR="00285DB3" w:rsidRPr="00285DB3">
              <w:rPr>
                <w:rStyle w:val="a9"/>
                <w:rFonts w:ascii="Times New Roman" w:hAnsi="Times New Roman" w:cs="Times New Roman"/>
                <w:i/>
                <w:noProof/>
                <w:sz w:val="26"/>
                <w:szCs w:val="26"/>
              </w:rPr>
              <w:t>Сравнительный анализ данных о расходах бюджетов субъектов РФ на социальное обслуживание населения</w:t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_Toc383442167 \h </w:instrText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85DB3" w:rsidRPr="00285DB3" w:rsidRDefault="0009328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83442168" w:history="1">
            <w:r w:rsidR="00285DB3" w:rsidRPr="00285DB3">
              <w:rPr>
                <w:rStyle w:val="a9"/>
                <w:rFonts w:ascii="Times New Roman" w:hAnsi="Times New Roman" w:cs="Times New Roman"/>
                <w:i/>
                <w:noProof/>
                <w:sz w:val="26"/>
                <w:szCs w:val="26"/>
              </w:rPr>
              <w:t>Степень неравенства населения регионов в обеспеченности финансированием социального обслуживания населения</w:t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_Toc383442168 \h </w:instrText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85DB3" w:rsidRPr="00285DB3" w:rsidRDefault="0009328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83442169" w:history="1">
            <w:r w:rsidR="00285DB3" w:rsidRPr="00285DB3">
              <w:rPr>
                <w:rStyle w:val="a9"/>
                <w:rFonts w:ascii="Times New Roman" w:hAnsi="Times New Roman" w:cs="Times New Roman"/>
                <w:i/>
                <w:noProof/>
                <w:sz w:val="26"/>
                <w:szCs w:val="26"/>
              </w:rPr>
              <w:t>Сравнительный анализ доступности услуг социальной защиты по регионам</w:t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_Toc383442169 \h </w:instrText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85DB3" w:rsidRPr="00285DB3" w:rsidRDefault="0009328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83442170" w:history="1">
            <w:r w:rsidR="00285DB3" w:rsidRPr="00285DB3">
              <w:rPr>
                <w:rStyle w:val="a9"/>
                <w:rFonts w:ascii="Times New Roman" w:hAnsi="Times New Roman" w:cs="Times New Roman"/>
                <w:i/>
                <w:noProof/>
                <w:sz w:val="26"/>
                <w:szCs w:val="26"/>
              </w:rPr>
              <w:t>Проблемы методологии измерения объема предоставленных услугсоциальной защиты</w:t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_Toc383442170 \h </w:instrText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17</w:t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85DB3" w:rsidRPr="00285DB3" w:rsidRDefault="0009328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383442171" w:history="1">
            <w:r w:rsidR="00285DB3" w:rsidRPr="00285DB3">
              <w:rPr>
                <w:rStyle w:val="a9"/>
                <w:rFonts w:ascii="Times New Roman" w:hAnsi="Times New Roman" w:cs="Times New Roman"/>
                <w:i/>
                <w:noProof/>
                <w:sz w:val="26"/>
                <w:szCs w:val="26"/>
              </w:rPr>
              <w:t>Сравнение регионов по доле расходов на закупку услуг в общем объеме расходов на социальной обслуживание население</w:t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_Toc383442171 \h </w:instrText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18</w:t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85DB3" w:rsidRDefault="0009328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3442172" w:history="1">
            <w:r w:rsidR="00285DB3" w:rsidRPr="00285DB3">
              <w:rPr>
                <w:rStyle w:val="a9"/>
                <w:rFonts w:ascii="Times New Roman" w:hAnsi="Times New Roman" w:cs="Times New Roman"/>
                <w:i/>
                <w:noProof/>
                <w:sz w:val="26"/>
                <w:szCs w:val="26"/>
              </w:rPr>
              <w:t>Краткие выводы</w:t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_Toc383442172 \h </w:instrText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20</w:t>
            </w:r>
            <w:r w:rsidR="00285DB3" w:rsidRPr="00285DB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07CB" w:rsidRPr="006C7EAC" w:rsidRDefault="008107CB">
          <w:pPr>
            <w:rPr>
              <w:rFonts w:ascii="Times New Roman" w:hAnsi="Times New Roman" w:cs="Times New Roman"/>
              <w:sz w:val="28"/>
              <w:szCs w:val="28"/>
            </w:rPr>
          </w:pPr>
          <w:r w:rsidRPr="006335F8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6C22B6" w:rsidRDefault="006C22B6" w:rsidP="00A612C3">
      <w:pPr>
        <w:jc w:val="center"/>
        <w:rPr>
          <w:rFonts w:ascii="Times New Roman" w:hAnsi="Times New Roman" w:cs="Times New Roman"/>
          <w:b/>
          <w:sz w:val="24"/>
        </w:rPr>
      </w:pPr>
    </w:p>
    <w:p w:rsidR="00DD7544" w:rsidRDefault="00DD7544" w:rsidP="00A612C3">
      <w:pPr>
        <w:jc w:val="center"/>
        <w:rPr>
          <w:rFonts w:ascii="Times New Roman" w:hAnsi="Times New Roman" w:cs="Times New Roman"/>
          <w:b/>
          <w:sz w:val="24"/>
        </w:rPr>
      </w:pPr>
    </w:p>
    <w:p w:rsidR="005A2ED2" w:rsidRDefault="005A2ED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921EB" w:rsidRPr="007921EB" w:rsidRDefault="007921EB" w:rsidP="008F67B1">
      <w:pPr>
        <w:pStyle w:val="1"/>
        <w:jc w:val="both"/>
        <w:rPr>
          <w:i/>
          <w:sz w:val="26"/>
          <w:szCs w:val="26"/>
          <w:lang w:val="ru-RU"/>
        </w:rPr>
      </w:pPr>
      <w:bookmarkStart w:id="1" w:name="_Toc383442166"/>
      <w:r w:rsidRPr="007921EB">
        <w:rPr>
          <w:i/>
          <w:sz w:val="26"/>
          <w:szCs w:val="26"/>
          <w:lang w:val="ru-RU"/>
        </w:rPr>
        <w:lastRenderedPageBreak/>
        <w:t xml:space="preserve">Разграничение полномочий между органами государственной власти и органами местного самоуправления в Российской Федерации в сфере </w:t>
      </w:r>
      <w:r w:rsidR="008029E5">
        <w:rPr>
          <w:i/>
          <w:sz w:val="26"/>
          <w:szCs w:val="26"/>
          <w:lang w:val="ru-RU"/>
        </w:rPr>
        <w:t xml:space="preserve">социальной защиты населения </w:t>
      </w:r>
      <w:r w:rsidRPr="007921EB">
        <w:rPr>
          <w:i/>
          <w:sz w:val="26"/>
          <w:szCs w:val="26"/>
          <w:lang w:val="ru-RU"/>
        </w:rPr>
        <w:t>и финансовое обеспечение этих полномочий</w:t>
      </w:r>
      <w:bookmarkEnd w:id="1"/>
    </w:p>
    <w:p w:rsidR="005A2ED2" w:rsidRPr="0092038E" w:rsidRDefault="005A2ED2" w:rsidP="00A612C3">
      <w:pPr>
        <w:jc w:val="center"/>
        <w:rPr>
          <w:rFonts w:ascii="Times New Roman" w:hAnsi="Times New Roman" w:cs="Times New Roman"/>
          <w:b/>
          <w:sz w:val="24"/>
        </w:rPr>
      </w:pPr>
    </w:p>
    <w:p w:rsidR="006B37A3" w:rsidRPr="005A2ED2" w:rsidRDefault="00F661B5" w:rsidP="00457BB9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5A2ED2">
        <w:rPr>
          <w:rFonts w:ascii="Times New Roman" w:hAnsi="Times New Roman"/>
          <w:sz w:val="26"/>
          <w:szCs w:val="26"/>
        </w:rPr>
        <w:t>Конституция Российской Федерации</w:t>
      </w:r>
      <w:r w:rsidR="006B37A3" w:rsidRPr="005A2ED2">
        <w:rPr>
          <w:rFonts w:ascii="Times New Roman" w:hAnsi="Times New Roman"/>
          <w:szCs w:val="26"/>
          <w:vertAlign w:val="superscript"/>
        </w:rPr>
        <w:footnoteReference w:id="1"/>
      </w:r>
      <w:r w:rsidRPr="005A2ED2">
        <w:rPr>
          <w:rFonts w:ascii="Times New Roman" w:hAnsi="Times New Roman"/>
          <w:sz w:val="26"/>
          <w:szCs w:val="26"/>
        </w:rPr>
        <w:t xml:space="preserve"> относит  к ведению Российской Федерации установление основ федеральной политики и федеральные программы в области социального развития Российской Федерации</w:t>
      </w:r>
      <w:r w:rsidR="000B69C9" w:rsidRPr="005A2ED2">
        <w:rPr>
          <w:rFonts w:ascii="Times New Roman" w:hAnsi="Times New Roman"/>
          <w:sz w:val="26"/>
          <w:szCs w:val="26"/>
        </w:rPr>
        <w:t xml:space="preserve"> (ст. 71)</w:t>
      </w:r>
      <w:r w:rsidRPr="005A2ED2">
        <w:rPr>
          <w:rFonts w:ascii="Times New Roman" w:hAnsi="Times New Roman"/>
          <w:sz w:val="26"/>
          <w:szCs w:val="26"/>
        </w:rPr>
        <w:t xml:space="preserve">, а </w:t>
      </w:r>
      <w:r w:rsidR="008029E5" w:rsidRPr="008029E5">
        <w:rPr>
          <w:rFonts w:ascii="Times New Roman" w:hAnsi="Times New Roman"/>
          <w:sz w:val="26"/>
          <w:szCs w:val="26"/>
        </w:rPr>
        <w:t xml:space="preserve">социальную защиту, включая социальное обеспечение; </w:t>
      </w:r>
      <w:r w:rsidRPr="005A2ED2">
        <w:rPr>
          <w:rFonts w:ascii="Times New Roman" w:hAnsi="Times New Roman"/>
          <w:sz w:val="26"/>
          <w:szCs w:val="26"/>
        </w:rPr>
        <w:t xml:space="preserve">  - к  совместному ведению Российской Федерации и субъектов Российской Федерации</w:t>
      </w:r>
      <w:r w:rsidR="000B69C9" w:rsidRPr="005A2ED2">
        <w:rPr>
          <w:rFonts w:ascii="Times New Roman" w:hAnsi="Times New Roman"/>
          <w:sz w:val="26"/>
          <w:szCs w:val="26"/>
        </w:rPr>
        <w:t xml:space="preserve"> (ст. 72)</w:t>
      </w:r>
      <w:r w:rsidRPr="005A2ED2">
        <w:rPr>
          <w:rFonts w:ascii="Times New Roman" w:hAnsi="Times New Roman"/>
          <w:sz w:val="26"/>
          <w:szCs w:val="26"/>
        </w:rPr>
        <w:t>.</w:t>
      </w:r>
      <w:r w:rsidR="000B69C9" w:rsidRPr="005A2ED2">
        <w:rPr>
          <w:rFonts w:ascii="Times New Roman" w:hAnsi="Times New Roman"/>
          <w:sz w:val="26"/>
          <w:szCs w:val="26"/>
        </w:rPr>
        <w:t xml:space="preserve"> </w:t>
      </w:r>
      <w:r w:rsidR="00BA2AAE" w:rsidRPr="005A2ED2">
        <w:rPr>
          <w:rFonts w:ascii="Times New Roman" w:hAnsi="Times New Roman"/>
          <w:sz w:val="26"/>
          <w:szCs w:val="26"/>
        </w:rPr>
        <w:t>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 (ст. 73).</w:t>
      </w:r>
      <w:r w:rsidR="006B37A3" w:rsidRPr="005A2ED2">
        <w:rPr>
          <w:rFonts w:ascii="Times New Roman" w:hAnsi="Times New Roman"/>
          <w:sz w:val="26"/>
          <w:szCs w:val="26"/>
        </w:rPr>
        <w:t xml:space="preserve"> </w:t>
      </w:r>
    </w:p>
    <w:p w:rsidR="001C557F" w:rsidRDefault="006B37A3" w:rsidP="006335F8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5A2ED2">
        <w:rPr>
          <w:rFonts w:ascii="Times New Roman" w:hAnsi="Times New Roman"/>
          <w:sz w:val="26"/>
          <w:szCs w:val="26"/>
        </w:rPr>
        <w:t>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 определены  федеральным закон "Об общих принципах организации законодательных и исполнительных органов государственной власти субъектов Российской Федерации".</w:t>
      </w:r>
      <w:r w:rsidRPr="005A2ED2">
        <w:rPr>
          <w:rFonts w:ascii="Times New Roman" w:hAnsi="Times New Roman"/>
          <w:szCs w:val="26"/>
          <w:vertAlign w:val="superscript"/>
        </w:rPr>
        <w:footnoteReference w:id="2"/>
      </w:r>
      <w:r w:rsidRPr="005A2ED2">
        <w:rPr>
          <w:rFonts w:ascii="Times New Roman" w:hAnsi="Times New Roman"/>
          <w:sz w:val="26"/>
          <w:szCs w:val="26"/>
        </w:rPr>
        <w:t xml:space="preserve">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в сфере </w:t>
      </w:r>
      <w:r w:rsidR="006270A7">
        <w:rPr>
          <w:rFonts w:ascii="Times New Roman" w:hAnsi="Times New Roman"/>
          <w:sz w:val="26"/>
          <w:szCs w:val="26"/>
        </w:rPr>
        <w:t>социально</w:t>
      </w:r>
      <w:r w:rsidR="003754B4">
        <w:rPr>
          <w:rFonts w:ascii="Times New Roman" w:hAnsi="Times New Roman"/>
          <w:sz w:val="26"/>
          <w:szCs w:val="26"/>
        </w:rPr>
        <w:t xml:space="preserve">й </w:t>
      </w:r>
      <w:r w:rsidR="006270A7">
        <w:rPr>
          <w:rFonts w:ascii="Times New Roman" w:hAnsi="Times New Roman"/>
          <w:sz w:val="26"/>
          <w:szCs w:val="26"/>
        </w:rPr>
        <w:t>защиты данный закон  относит поддержк</w:t>
      </w:r>
      <w:r w:rsidR="003754B4">
        <w:rPr>
          <w:rFonts w:ascii="Times New Roman" w:hAnsi="Times New Roman"/>
          <w:sz w:val="26"/>
          <w:szCs w:val="26"/>
        </w:rPr>
        <w:t>у</w:t>
      </w:r>
      <w:r w:rsidR="006270A7">
        <w:rPr>
          <w:rFonts w:ascii="Times New Roman" w:hAnsi="Times New Roman"/>
          <w:sz w:val="26"/>
          <w:szCs w:val="26"/>
        </w:rPr>
        <w:t xml:space="preserve"> социально ориентированных некоммерческих организаций, благотворительной деятельности и добровольчества, организации и осуществления региональных и межмуниципальных программ поддержки социально ориентированных некоммерческих организаций, благотворительной деятельности и добровольчества</w:t>
      </w:r>
      <w:r w:rsidR="001C557F">
        <w:rPr>
          <w:rFonts w:ascii="Times New Roman" w:hAnsi="Times New Roman"/>
          <w:sz w:val="26"/>
          <w:szCs w:val="26"/>
        </w:rPr>
        <w:t>;</w:t>
      </w:r>
      <w:r w:rsidR="00B37224">
        <w:rPr>
          <w:rFonts w:ascii="Times New Roman" w:hAnsi="Times New Roman"/>
          <w:sz w:val="26"/>
          <w:szCs w:val="26"/>
        </w:rPr>
        <w:t xml:space="preserve">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1C557F">
        <w:rPr>
          <w:rFonts w:ascii="Times New Roman" w:hAnsi="Times New Roman"/>
          <w:sz w:val="26"/>
          <w:szCs w:val="26"/>
        </w:rPr>
        <w:t xml:space="preserve">; социальной поддержки и социального обслуживания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 (за исключением детей, обучающихся в федеральных образовательных учреждениях), социальной поддержки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граждан, в том числе за счет предоставления субвенций местным бюджетам для выплаты пособий на оплату проезда на общественном транспорте, иных социальных пособий,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граждан, в том числе льгот по оплате услуг связи, </w:t>
      </w:r>
      <w:r w:rsidR="001C557F">
        <w:rPr>
          <w:rFonts w:ascii="Times New Roman" w:hAnsi="Times New Roman"/>
          <w:sz w:val="26"/>
          <w:szCs w:val="26"/>
        </w:rPr>
        <w:lastRenderedPageBreak/>
        <w:t>организация предоставления гражданам субсидий на оплату жилых помещений и коммунальных услуг; организации и осуществления деятельности по опеке и попечительству</w:t>
      </w:r>
      <w:r w:rsidR="002538D3">
        <w:rPr>
          <w:rFonts w:ascii="Times New Roman" w:hAnsi="Times New Roman"/>
          <w:sz w:val="26"/>
          <w:szCs w:val="26"/>
        </w:rPr>
        <w:t>.</w:t>
      </w:r>
    </w:p>
    <w:p w:rsidR="00F22B25" w:rsidRPr="00E7588D" w:rsidRDefault="000B69C9" w:rsidP="006335F8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5A2ED2">
        <w:rPr>
          <w:rFonts w:ascii="Times New Roman" w:hAnsi="Times New Roman"/>
          <w:sz w:val="26"/>
          <w:szCs w:val="26"/>
        </w:rPr>
        <w:t xml:space="preserve">Решение вопросов местного значения обеспечивается, </w:t>
      </w:r>
      <w:r w:rsidR="00F22B25" w:rsidRPr="005A2ED2">
        <w:rPr>
          <w:rFonts w:ascii="Times New Roman" w:hAnsi="Times New Roman"/>
          <w:sz w:val="26"/>
          <w:szCs w:val="26"/>
        </w:rPr>
        <w:t>согласно</w:t>
      </w:r>
      <w:r w:rsidRPr="005A2ED2">
        <w:rPr>
          <w:rFonts w:ascii="Times New Roman" w:hAnsi="Times New Roman"/>
          <w:sz w:val="26"/>
          <w:szCs w:val="26"/>
        </w:rPr>
        <w:t xml:space="preserve"> Конституции, местным самоуправлением (ст. 130).</w:t>
      </w:r>
      <w:r w:rsidR="00BA2AAE" w:rsidRPr="005A2ED2">
        <w:rPr>
          <w:rFonts w:ascii="Times New Roman" w:hAnsi="Times New Roman"/>
          <w:sz w:val="26"/>
          <w:szCs w:val="26"/>
        </w:rPr>
        <w:t xml:space="preserve"> </w:t>
      </w:r>
      <w:r w:rsidRPr="005A2ED2">
        <w:rPr>
          <w:rFonts w:ascii="Times New Roman" w:hAnsi="Times New Roman"/>
          <w:sz w:val="26"/>
          <w:szCs w:val="26"/>
        </w:rPr>
        <w:t xml:space="preserve"> Вопросы местного значени</w:t>
      </w:r>
      <w:r w:rsidR="002538D3">
        <w:rPr>
          <w:rFonts w:ascii="Times New Roman" w:hAnsi="Times New Roman"/>
          <w:sz w:val="26"/>
          <w:szCs w:val="26"/>
        </w:rPr>
        <w:t xml:space="preserve">я установлены законом Закон «О </w:t>
      </w:r>
      <w:r w:rsidRPr="005A2ED2">
        <w:rPr>
          <w:rFonts w:ascii="Times New Roman" w:hAnsi="Times New Roman"/>
          <w:sz w:val="26"/>
          <w:szCs w:val="26"/>
        </w:rPr>
        <w:t>местном самоуправлении»</w:t>
      </w:r>
      <w:r w:rsidRPr="007D2B58">
        <w:rPr>
          <w:rFonts w:ascii="Times New Roman" w:hAnsi="Times New Roman"/>
          <w:sz w:val="26"/>
          <w:szCs w:val="26"/>
          <w:vertAlign w:val="superscript"/>
        </w:rPr>
        <w:footnoteReference w:id="3"/>
      </w:r>
      <w:r w:rsidRPr="005A2ED2">
        <w:rPr>
          <w:rFonts w:ascii="Times New Roman" w:hAnsi="Times New Roman"/>
          <w:sz w:val="26"/>
          <w:szCs w:val="26"/>
        </w:rPr>
        <w:t xml:space="preserve">. </w:t>
      </w:r>
      <w:r w:rsidR="00BA2AAE" w:rsidRPr="005A2ED2">
        <w:rPr>
          <w:rFonts w:ascii="Times New Roman" w:hAnsi="Times New Roman"/>
          <w:sz w:val="26"/>
          <w:szCs w:val="26"/>
        </w:rPr>
        <w:t xml:space="preserve"> Согласно это</w:t>
      </w:r>
      <w:r w:rsidRPr="005A2ED2">
        <w:rPr>
          <w:rFonts w:ascii="Times New Roman" w:hAnsi="Times New Roman"/>
          <w:sz w:val="26"/>
          <w:szCs w:val="26"/>
        </w:rPr>
        <w:t xml:space="preserve">му закону, к вопросам местного значения </w:t>
      </w:r>
      <w:r w:rsidR="00F22B25" w:rsidRPr="005A2ED2">
        <w:rPr>
          <w:rFonts w:ascii="Times New Roman" w:hAnsi="Times New Roman"/>
          <w:sz w:val="26"/>
          <w:szCs w:val="26"/>
        </w:rPr>
        <w:t xml:space="preserve">в сфере </w:t>
      </w:r>
      <w:r w:rsidR="00E200A5">
        <w:rPr>
          <w:rFonts w:ascii="Times New Roman" w:hAnsi="Times New Roman"/>
          <w:sz w:val="26"/>
          <w:szCs w:val="26"/>
        </w:rPr>
        <w:t>социальной защиты населения</w:t>
      </w:r>
      <w:r w:rsidR="00F22B25" w:rsidRPr="005A2ED2">
        <w:rPr>
          <w:rFonts w:ascii="Times New Roman" w:hAnsi="Times New Roman"/>
          <w:sz w:val="26"/>
          <w:szCs w:val="26"/>
        </w:rPr>
        <w:t xml:space="preserve"> </w:t>
      </w:r>
      <w:r w:rsidR="0092038E" w:rsidRPr="005A2ED2">
        <w:rPr>
          <w:rFonts w:ascii="Times New Roman" w:hAnsi="Times New Roman"/>
          <w:sz w:val="26"/>
          <w:szCs w:val="26"/>
        </w:rPr>
        <w:t>отно</w:t>
      </w:r>
      <w:r w:rsidRPr="005A2ED2">
        <w:rPr>
          <w:rFonts w:ascii="Times New Roman" w:hAnsi="Times New Roman"/>
          <w:sz w:val="26"/>
          <w:szCs w:val="26"/>
        </w:rPr>
        <w:t>с</w:t>
      </w:r>
      <w:r w:rsidR="00F22B25" w:rsidRPr="005A2ED2">
        <w:rPr>
          <w:rFonts w:ascii="Times New Roman" w:hAnsi="Times New Roman"/>
          <w:sz w:val="26"/>
          <w:szCs w:val="26"/>
        </w:rPr>
        <w:t xml:space="preserve">ятся </w:t>
      </w:r>
      <w:r w:rsidRPr="005A2ED2">
        <w:rPr>
          <w:rFonts w:ascii="Times New Roman" w:hAnsi="Times New Roman"/>
          <w:sz w:val="26"/>
          <w:szCs w:val="26"/>
        </w:rPr>
        <w:t xml:space="preserve">вопросы </w:t>
      </w:r>
      <w:r w:rsidR="00E200A5">
        <w:rPr>
          <w:rFonts w:ascii="Times New Roman" w:hAnsi="Times New Roman"/>
          <w:sz w:val="26"/>
          <w:szCs w:val="26"/>
        </w:rPr>
        <w:t>обеспечения проживающих в поселении и нуждающихся в жилых помещениях малоимущих граждан жилыми помещениями</w:t>
      </w:r>
      <w:r w:rsidR="00E7588D">
        <w:rPr>
          <w:rFonts w:ascii="Times New Roman" w:hAnsi="Times New Roman"/>
          <w:sz w:val="26"/>
          <w:szCs w:val="26"/>
        </w:rPr>
        <w:t xml:space="preserve"> (ст.14, п.1.6)</w:t>
      </w:r>
      <w:r w:rsidR="00E200A5">
        <w:rPr>
          <w:rFonts w:ascii="Times New Roman" w:hAnsi="Times New Roman"/>
          <w:sz w:val="26"/>
          <w:szCs w:val="26"/>
        </w:rPr>
        <w:t xml:space="preserve">;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="00E200A5" w:rsidRPr="006335F8">
          <w:rPr>
            <w:rFonts w:ascii="Times New Roman" w:hAnsi="Times New Roman"/>
            <w:sz w:val="26"/>
            <w:szCs w:val="26"/>
          </w:rPr>
          <w:t>статьями 31.1</w:t>
        </w:r>
      </w:hyperlink>
      <w:r w:rsidR="00E200A5">
        <w:rPr>
          <w:rFonts w:ascii="Times New Roman" w:hAnsi="Times New Roman"/>
          <w:sz w:val="26"/>
          <w:szCs w:val="26"/>
        </w:rPr>
        <w:t xml:space="preserve"> и </w:t>
      </w:r>
      <w:hyperlink r:id="rId11" w:history="1">
        <w:r w:rsidR="00E200A5" w:rsidRPr="006335F8">
          <w:rPr>
            <w:rFonts w:ascii="Times New Roman" w:hAnsi="Times New Roman"/>
            <w:sz w:val="26"/>
            <w:szCs w:val="26"/>
          </w:rPr>
          <w:t>31.3</w:t>
        </w:r>
      </w:hyperlink>
      <w:r w:rsidR="00E200A5">
        <w:rPr>
          <w:rFonts w:ascii="Times New Roman" w:hAnsi="Times New Roman"/>
          <w:sz w:val="26"/>
          <w:szCs w:val="26"/>
        </w:rPr>
        <w:t xml:space="preserve"> Федерального закона от 12 января 1996 года N 7-ФЗ "О некоммерческих организациях"</w:t>
      </w:r>
      <w:r w:rsidR="00E7588D">
        <w:rPr>
          <w:rFonts w:ascii="Times New Roman" w:hAnsi="Times New Roman"/>
          <w:sz w:val="26"/>
          <w:szCs w:val="26"/>
        </w:rPr>
        <w:t>(ст. 14, п.1.34)</w:t>
      </w:r>
      <w:r w:rsidR="00E200A5">
        <w:rPr>
          <w:rFonts w:ascii="Times New Roman" w:hAnsi="Times New Roman"/>
          <w:sz w:val="26"/>
          <w:szCs w:val="26"/>
        </w:rPr>
        <w:t xml:space="preserve">. </w:t>
      </w:r>
      <w:r w:rsidR="00E7588D">
        <w:rPr>
          <w:rFonts w:ascii="Times New Roman" w:hAnsi="Times New Roman"/>
          <w:sz w:val="26"/>
          <w:szCs w:val="26"/>
        </w:rPr>
        <w:t>Данный закон также на</w:t>
      </w:r>
      <w:r w:rsidR="00E200A5">
        <w:rPr>
          <w:rFonts w:ascii="Times New Roman" w:hAnsi="Times New Roman"/>
          <w:sz w:val="26"/>
          <w:szCs w:val="26"/>
        </w:rPr>
        <w:t xml:space="preserve">деляет органы местного самоуправления правом участвовать в осуществлении деятельности по опеке и попечительству </w:t>
      </w:r>
      <w:r w:rsidR="00E7588D" w:rsidRPr="005A2ED2">
        <w:rPr>
          <w:rFonts w:ascii="Times New Roman" w:hAnsi="Times New Roman"/>
          <w:sz w:val="26"/>
          <w:szCs w:val="26"/>
        </w:rPr>
        <w:t>(ст.1</w:t>
      </w:r>
      <w:r w:rsidR="00E7588D">
        <w:rPr>
          <w:rFonts w:ascii="Times New Roman" w:hAnsi="Times New Roman"/>
          <w:sz w:val="26"/>
          <w:szCs w:val="26"/>
        </w:rPr>
        <w:t>4.1, п.1.4)</w:t>
      </w:r>
      <w:r w:rsidR="00C43CB6">
        <w:rPr>
          <w:rFonts w:ascii="Times New Roman" w:hAnsi="Times New Roman"/>
          <w:sz w:val="26"/>
          <w:szCs w:val="26"/>
        </w:rPr>
        <w:t xml:space="preserve"> </w:t>
      </w:r>
      <w:r w:rsidR="00E200A5">
        <w:rPr>
          <w:rFonts w:ascii="Times New Roman" w:hAnsi="Times New Roman"/>
          <w:sz w:val="26"/>
          <w:szCs w:val="26"/>
        </w:rPr>
        <w:t xml:space="preserve">и оказывать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2" w:history="1">
        <w:r w:rsidR="00E200A5" w:rsidRPr="006335F8">
          <w:rPr>
            <w:rFonts w:ascii="Times New Roman" w:hAnsi="Times New Roman"/>
            <w:sz w:val="26"/>
            <w:szCs w:val="26"/>
          </w:rPr>
          <w:t>законом</w:t>
        </w:r>
      </w:hyperlink>
      <w:r w:rsidR="00E200A5">
        <w:rPr>
          <w:rFonts w:ascii="Times New Roman" w:hAnsi="Times New Roman"/>
          <w:sz w:val="26"/>
          <w:szCs w:val="26"/>
        </w:rPr>
        <w:t xml:space="preserve"> от 24 ноября 1995 года N 181-ФЗ "О социальной защите инвалидов в Российской Федерации"</w:t>
      </w:r>
      <w:r w:rsidR="006E1777">
        <w:rPr>
          <w:rFonts w:ascii="Times New Roman" w:hAnsi="Times New Roman"/>
          <w:sz w:val="26"/>
          <w:szCs w:val="26"/>
        </w:rPr>
        <w:t xml:space="preserve"> ст.</w:t>
      </w:r>
      <w:r w:rsidR="006E1777" w:rsidRPr="005A2ED2">
        <w:rPr>
          <w:rFonts w:ascii="Times New Roman" w:hAnsi="Times New Roman"/>
          <w:sz w:val="26"/>
          <w:szCs w:val="26"/>
        </w:rPr>
        <w:t>1</w:t>
      </w:r>
      <w:r w:rsidR="006E1777">
        <w:rPr>
          <w:rFonts w:ascii="Times New Roman" w:hAnsi="Times New Roman"/>
          <w:sz w:val="26"/>
          <w:szCs w:val="26"/>
        </w:rPr>
        <w:t>4.1, п.1.11</w:t>
      </w:r>
      <w:r w:rsidR="006E1777" w:rsidRPr="005A2ED2">
        <w:rPr>
          <w:rFonts w:ascii="Times New Roman" w:hAnsi="Times New Roman"/>
          <w:sz w:val="26"/>
          <w:szCs w:val="26"/>
        </w:rPr>
        <w:t>)</w:t>
      </w:r>
      <w:r w:rsidR="00E200A5">
        <w:rPr>
          <w:rFonts w:ascii="Times New Roman" w:hAnsi="Times New Roman"/>
          <w:sz w:val="26"/>
          <w:szCs w:val="26"/>
        </w:rPr>
        <w:t xml:space="preserve">  – вопросы, который не отнесены законом к во</w:t>
      </w:r>
      <w:r w:rsidR="006E1777">
        <w:rPr>
          <w:rFonts w:ascii="Times New Roman" w:hAnsi="Times New Roman"/>
          <w:sz w:val="26"/>
          <w:szCs w:val="26"/>
        </w:rPr>
        <w:t>просам местного  значения</w:t>
      </w:r>
      <w:r w:rsidR="00F22B25" w:rsidRPr="005A2ED2">
        <w:rPr>
          <w:rFonts w:ascii="Times New Roman" w:hAnsi="Times New Roman"/>
          <w:sz w:val="26"/>
          <w:szCs w:val="26"/>
        </w:rPr>
        <w:t>.</w:t>
      </w:r>
    </w:p>
    <w:p w:rsidR="00F22B25" w:rsidRPr="005A2ED2" w:rsidRDefault="00F22B25" w:rsidP="00457BB9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5A2ED2">
        <w:rPr>
          <w:rFonts w:ascii="Times New Roman" w:hAnsi="Times New Roman"/>
          <w:sz w:val="26"/>
          <w:szCs w:val="26"/>
        </w:rPr>
        <w:t xml:space="preserve">Установленное в перечисленных законах разграничение полномочий между уровнями власти в Российской Федерации </w:t>
      </w:r>
      <w:r w:rsidR="00B531D2">
        <w:rPr>
          <w:rFonts w:ascii="Times New Roman" w:hAnsi="Times New Roman"/>
          <w:sz w:val="26"/>
          <w:szCs w:val="26"/>
        </w:rPr>
        <w:t xml:space="preserve">в сфере социального обслуживания населения </w:t>
      </w:r>
      <w:r w:rsidRPr="005A2ED2">
        <w:rPr>
          <w:rFonts w:ascii="Times New Roman" w:hAnsi="Times New Roman"/>
          <w:sz w:val="26"/>
          <w:szCs w:val="26"/>
        </w:rPr>
        <w:t>конкретизируются в федеральном законе «</w:t>
      </w:r>
      <w:r w:rsidR="006E1777" w:rsidRPr="006E1777">
        <w:rPr>
          <w:rFonts w:ascii="Times New Roman" w:hAnsi="Times New Roman"/>
          <w:sz w:val="26"/>
          <w:szCs w:val="26"/>
        </w:rPr>
        <w:t>Об основах социал</w:t>
      </w:r>
      <w:r w:rsidR="006E1777">
        <w:rPr>
          <w:rFonts w:ascii="Times New Roman" w:hAnsi="Times New Roman"/>
          <w:sz w:val="26"/>
          <w:szCs w:val="26"/>
        </w:rPr>
        <w:t>ьного обслуживания населения в Российской Ф</w:t>
      </w:r>
      <w:r w:rsidR="006E1777" w:rsidRPr="006E1777">
        <w:rPr>
          <w:rFonts w:ascii="Times New Roman" w:hAnsi="Times New Roman"/>
          <w:sz w:val="26"/>
          <w:szCs w:val="26"/>
        </w:rPr>
        <w:t>едерации</w:t>
      </w:r>
      <w:r w:rsidRPr="005A2ED2">
        <w:rPr>
          <w:rFonts w:ascii="Times New Roman" w:hAnsi="Times New Roman"/>
          <w:sz w:val="26"/>
          <w:szCs w:val="26"/>
        </w:rPr>
        <w:t>»</w:t>
      </w:r>
      <w:r w:rsidRPr="007D2B58">
        <w:rPr>
          <w:rFonts w:ascii="Times New Roman" w:hAnsi="Times New Roman"/>
          <w:sz w:val="26"/>
          <w:szCs w:val="26"/>
          <w:vertAlign w:val="superscript"/>
        </w:rPr>
        <w:footnoteReference w:id="4"/>
      </w:r>
      <w:r w:rsidRPr="005A2ED2">
        <w:rPr>
          <w:rFonts w:ascii="Times New Roman" w:hAnsi="Times New Roman"/>
          <w:sz w:val="26"/>
          <w:szCs w:val="26"/>
        </w:rPr>
        <w:t xml:space="preserve">, где более подробно перечислены полномочия каждого из трех уровней публичной власти в Российской Федерации в </w:t>
      </w:r>
      <w:r w:rsidR="00B531D2">
        <w:rPr>
          <w:rFonts w:ascii="Times New Roman" w:hAnsi="Times New Roman"/>
          <w:sz w:val="26"/>
          <w:szCs w:val="26"/>
        </w:rPr>
        <w:t>указанной сфере</w:t>
      </w:r>
      <w:r w:rsidRPr="005A2ED2">
        <w:rPr>
          <w:rFonts w:ascii="Times New Roman" w:hAnsi="Times New Roman"/>
          <w:sz w:val="26"/>
          <w:szCs w:val="26"/>
        </w:rPr>
        <w:t xml:space="preserve">. Положения этого закона, касающиеся разграничения полномочий, </w:t>
      </w:r>
      <w:r w:rsidR="00A612C3" w:rsidRPr="005A2ED2">
        <w:rPr>
          <w:rFonts w:ascii="Times New Roman" w:hAnsi="Times New Roman"/>
          <w:sz w:val="26"/>
          <w:szCs w:val="26"/>
        </w:rPr>
        <w:t xml:space="preserve">в краткой форме </w:t>
      </w:r>
      <w:r w:rsidRPr="005A2ED2">
        <w:rPr>
          <w:rFonts w:ascii="Times New Roman" w:hAnsi="Times New Roman"/>
          <w:sz w:val="26"/>
          <w:szCs w:val="26"/>
        </w:rPr>
        <w:t>представлены в таблице ниже.</w:t>
      </w:r>
    </w:p>
    <w:p w:rsidR="00AA016C" w:rsidRDefault="00AA016C" w:rsidP="006335F8">
      <w:pPr>
        <w:pStyle w:val="ac"/>
        <w:spacing w:after="0"/>
        <w:rPr>
          <w:rFonts w:ascii="Times New Roman" w:hAnsi="Times New Roman"/>
          <w:sz w:val="26"/>
          <w:szCs w:val="26"/>
        </w:rPr>
      </w:pPr>
    </w:p>
    <w:p w:rsidR="00F661B5" w:rsidRPr="00057940" w:rsidRDefault="005A2ED2" w:rsidP="00457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7940">
        <w:rPr>
          <w:rFonts w:ascii="Times New Roman" w:hAnsi="Times New Roman" w:cs="Times New Roman"/>
          <w:sz w:val="26"/>
          <w:szCs w:val="26"/>
        </w:rPr>
        <w:t>Таблица 1</w:t>
      </w:r>
      <w:r w:rsidR="00F22B25" w:rsidRPr="00057940">
        <w:rPr>
          <w:rFonts w:ascii="Times New Roman" w:hAnsi="Times New Roman" w:cs="Times New Roman"/>
          <w:sz w:val="26"/>
          <w:szCs w:val="26"/>
        </w:rPr>
        <w:t xml:space="preserve">. </w:t>
      </w:r>
      <w:r w:rsidR="00CF5E91" w:rsidRPr="00057940">
        <w:rPr>
          <w:rFonts w:ascii="Times New Roman" w:hAnsi="Times New Roman" w:cs="Times New Roman"/>
          <w:sz w:val="26"/>
          <w:szCs w:val="26"/>
        </w:rPr>
        <w:t>Разграничени</w:t>
      </w:r>
      <w:r w:rsidR="00F661B5" w:rsidRPr="00057940">
        <w:rPr>
          <w:rFonts w:ascii="Times New Roman" w:hAnsi="Times New Roman" w:cs="Times New Roman"/>
          <w:sz w:val="26"/>
          <w:szCs w:val="26"/>
        </w:rPr>
        <w:t xml:space="preserve">е полномочий между органами </w:t>
      </w:r>
      <w:r w:rsidR="00F22B25" w:rsidRPr="00057940">
        <w:rPr>
          <w:rFonts w:ascii="Times New Roman" w:hAnsi="Times New Roman" w:cs="Times New Roman"/>
          <w:sz w:val="26"/>
          <w:szCs w:val="26"/>
        </w:rPr>
        <w:t xml:space="preserve">государственной власти и органами местного самоуправления в Российской Федерации, </w:t>
      </w:r>
      <w:r w:rsidR="00814207" w:rsidRPr="00057940">
        <w:rPr>
          <w:rFonts w:ascii="Times New Roman" w:hAnsi="Times New Roman" w:cs="Times New Roman"/>
          <w:sz w:val="26"/>
          <w:szCs w:val="26"/>
        </w:rPr>
        <w:t>установленное</w:t>
      </w:r>
      <w:r w:rsidR="00F22B25" w:rsidRPr="00057940">
        <w:rPr>
          <w:rFonts w:ascii="Times New Roman" w:hAnsi="Times New Roman" w:cs="Times New Roman"/>
          <w:sz w:val="26"/>
          <w:szCs w:val="26"/>
        </w:rPr>
        <w:t xml:space="preserve"> федер</w:t>
      </w:r>
      <w:r w:rsidR="00057940">
        <w:rPr>
          <w:rFonts w:ascii="Times New Roman" w:hAnsi="Times New Roman" w:cs="Times New Roman"/>
          <w:sz w:val="26"/>
          <w:szCs w:val="26"/>
        </w:rPr>
        <w:t>альным</w:t>
      </w:r>
      <w:r w:rsidR="00AA016C">
        <w:rPr>
          <w:rFonts w:ascii="Times New Roman" w:hAnsi="Times New Roman" w:cs="Times New Roman"/>
          <w:sz w:val="26"/>
          <w:szCs w:val="26"/>
        </w:rPr>
        <w:t>и</w:t>
      </w:r>
      <w:r w:rsidR="0005794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A016C">
        <w:rPr>
          <w:rFonts w:ascii="Times New Roman" w:hAnsi="Times New Roman" w:cs="Times New Roman"/>
          <w:sz w:val="26"/>
          <w:szCs w:val="26"/>
        </w:rPr>
        <w:t>ами</w:t>
      </w:r>
      <w:r w:rsidR="00057940">
        <w:rPr>
          <w:rFonts w:ascii="Times New Roman" w:hAnsi="Times New Roman" w:cs="Times New Roman"/>
          <w:sz w:val="26"/>
          <w:szCs w:val="26"/>
        </w:rPr>
        <w:t xml:space="preserve"> </w:t>
      </w:r>
      <w:r w:rsidR="00AA016C">
        <w:rPr>
          <w:rFonts w:ascii="Times New Roman" w:hAnsi="Times New Roman" w:cs="Times New Roman"/>
          <w:sz w:val="26"/>
          <w:szCs w:val="26"/>
        </w:rPr>
        <w:t>«</w:t>
      </w:r>
      <w:r w:rsidR="00AA016C" w:rsidRPr="00AA016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A016C">
        <w:rPr>
          <w:rFonts w:ascii="Times New Roman" w:hAnsi="Times New Roman" w:cs="Times New Roman"/>
          <w:sz w:val="26"/>
          <w:szCs w:val="26"/>
        </w:rPr>
        <w:t xml:space="preserve">» и </w:t>
      </w:r>
      <w:r w:rsidR="00057940">
        <w:rPr>
          <w:rFonts w:ascii="Times New Roman" w:hAnsi="Times New Roman" w:cs="Times New Roman"/>
          <w:sz w:val="26"/>
          <w:szCs w:val="26"/>
        </w:rPr>
        <w:t>«</w:t>
      </w:r>
      <w:r w:rsidR="00402E8D" w:rsidRPr="006E1777">
        <w:rPr>
          <w:rFonts w:ascii="Times New Roman" w:hAnsi="Times New Roman"/>
          <w:sz w:val="26"/>
          <w:szCs w:val="26"/>
        </w:rPr>
        <w:t>Об основах социал</w:t>
      </w:r>
      <w:r w:rsidR="00402E8D">
        <w:rPr>
          <w:rFonts w:ascii="Times New Roman" w:hAnsi="Times New Roman"/>
          <w:sz w:val="26"/>
          <w:szCs w:val="26"/>
        </w:rPr>
        <w:t>ьного обслуживания населения в Российской Ф</w:t>
      </w:r>
      <w:r w:rsidR="00402E8D" w:rsidRPr="006E1777">
        <w:rPr>
          <w:rFonts w:ascii="Times New Roman" w:hAnsi="Times New Roman"/>
          <w:sz w:val="26"/>
          <w:szCs w:val="26"/>
        </w:rPr>
        <w:t>едерации</w:t>
      </w:r>
      <w:r w:rsidR="00057940">
        <w:rPr>
          <w:rFonts w:ascii="Times New Roman" w:hAnsi="Times New Roman" w:cs="Times New Roman"/>
          <w:sz w:val="26"/>
          <w:szCs w:val="26"/>
        </w:rPr>
        <w:t>»</w:t>
      </w:r>
    </w:p>
    <w:p w:rsidR="00F22B25" w:rsidRPr="00057940" w:rsidRDefault="00F22B25" w:rsidP="00F22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3544"/>
        <w:gridCol w:w="2551"/>
      </w:tblGrid>
      <w:tr w:rsidR="00AA016C" w:rsidRPr="0092038E" w:rsidTr="00457BB9">
        <w:trPr>
          <w:tblHeader/>
        </w:trPr>
        <w:tc>
          <w:tcPr>
            <w:tcW w:w="3369" w:type="dxa"/>
            <w:shd w:val="clear" w:color="auto" w:fill="D9D9D9" w:themeFill="background1" w:themeFillShade="D9"/>
          </w:tcPr>
          <w:p w:rsidR="00AA016C" w:rsidRPr="0092038E" w:rsidRDefault="00AA016C" w:rsidP="0040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8E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Полномочия федеральных органов государственной власти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 населения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A016C" w:rsidRPr="0092038E" w:rsidRDefault="00AA016C" w:rsidP="0040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8E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Полномочия органов государственной власти субъектов РФ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 населения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A016C" w:rsidRPr="0092038E" w:rsidRDefault="00AA016C" w:rsidP="00AA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8E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Полномочия органов местного самоуправления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 населения</w:t>
            </w:r>
          </w:p>
        </w:tc>
      </w:tr>
      <w:tr w:rsidR="00AA016C" w:rsidRPr="0092038E" w:rsidTr="00457BB9">
        <w:tc>
          <w:tcPr>
            <w:tcW w:w="3369" w:type="dxa"/>
          </w:tcPr>
          <w:p w:rsidR="00AA016C" w:rsidRPr="0092038E" w:rsidRDefault="00AA016C" w:rsidP="007D2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основ федеральной политики в области социального обслуживания; принятие федеральных законов в области социального обслуживан</w:t>
            </w:r>
            <w:r w:rsidR="00457BB9">
              <w:rPr>
                <w:rFonts w:ascii="Times New Roman" w:hAnsi="Times New Roman" w:cs="Times New Roman"/>
                <w:sz w:val="20"/>
                <w:szCs w:val="20"/>
              </w:rPr>
              <w:t>ия и контроль за их исполнением</w:t>
            </w:r>
          </w:p>
        </w:tc>
        <w:tc>
          <w:tcPr>
            <w:tcW w:w="3544" w:type="dxa"/>
          </w:tcPr>
          <w:p w:rsidR="00AA016C" w:rsidRPr="0092038E" w:rsidRDefault="00AA016C" w:rsidP="00096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разработка, финансирование и реализация региональных пр</w:t>
            </w:r>
            <w:r w:rsidR="00457BB9">
              <w:rPr>
                <w:rFonts w:ascii="Times New Roman" w:hAnsi="Times New Roman" w:cs="Times New Roman"/>
                <w:sz w:val="20"/>
                <w:szCs w:val="20"/>
              </w:rPr>
              <w:t>ограмм социального обслуживания</w:t>
            </w:r>
          </w:p>
        </w:tc>
        <w:tc>
          <w:tcPr>
            <w:tcW w:w="2551" w:type="dxa"/>
          </w:tcPr>
          <w:p w:rsidR="00AA016C" w:rsidRPr="0092038E" w:rsidRDefault="00AA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16C" w:rsidRPr="0092038E" w:rsidTr="00457BB9">
        <w:tc>
          <w:tcPr>
            <w:tcW w:w="3369" w:type="dxa"/>
          </w:tcPr>
          <w:p w:rsidR="00AA016C" w:rsidRPr="0092038E" w:rsidRDefault="00AA016C" w:rsidP="00402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A016C" w:rsidRPr="0092038E" w:rsidRDefault="00AA016C" w:rsidP="007D2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структуры органов управления государственной системой социального обслуживани</w:t>
            </w:r>
            <w:r w:rsidR="007D2B58">
              <w:rPr>
                <w:rFonts w:ascii="Times New Roman" w:hAnsi="Times New Roman" w:cs="Times New Roman"/>
                <w:sz w:val="20"/>
                <w:szCs w:val="20"/>
              </w:rPr>
              <w:t xml:space="preserve">я и </w:t>
            </w:r>
            <w:r w:rsidR="007D2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их деятельности</w:t>
            </w:r>
          </w:p>
        </w:tc>
        <w:tc>
          <w:tcPr>
            <w:tcW w:w="2551" w:type="dxa"/>
          </w:tcPr>
          <w:p w:rsidR="00AA016C" w:rsidRPr="0092038E" w:rsidRDefault="00AA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16C" w:rsidRPr="0092038E" w:rsidTr="00457BB9">
        <w:tc>
          <w:tcPr>
            <w:tcW w:w="3369" w:type="dxa"/>
          </w:tcPr>
          <w:p w:rsidR="00AA016C" w:rsidRPr="0092038E" w:rsidRDefault="00AA016C" w:rsidP="00402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A016C" w:rsidRPr="0092038E" w:rsidRDefault="00AA016C" w:rsidP="007D2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создание, управление и обеспечение деятельности учре</w:t>
            </w:r>
            <w:r w:rsidR="00457BB9">
              <w:rPr>
                <w:rFonts w:ascii="Times New Roman" w:hAnsi="Times New Roman" w:cs="Times New Roman"/>
                <w:sz w:val="20"/>
                <w:szCs w:val="20"/>
              </w:rPr>
              <w:t>ждений социального обслуживания</w:t>
            </w:r>
          </w:p>
        </w:tc>
        <w:tc>
          <w:tcPr>
            <w:tcW w:w="2551" w:type="dxa"/>
          </w:tcPr>
          <w:p w:rsidR="00AA016C" w:rsidRPr="0092038E" w:rsidRDefault="00AA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16C" w:rsidRPr="0092038E" w:rsidTr="00457BB9">
        <w:tc>
          <w:tcPr>
            <w:tcW w:w="3369" w:type="dxa"/>
          </w:tcPr>
          <w:p w:rsidR="00AA016C" w:rsidRPr="0092038E" w:rsidRDefault="00AA016C" w:rsidP="00402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A016C" w:rsidRDefault="00AA016C" w:rsidP="00726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D77">
              <w:rPr>
                <w:rFonts w:ascii="Times New Roman" w:hAnsi="Times New Roman" w:cs="Times New Roman"/>
                <w:sz w:val="20"/>
                <w:szCs w:val="20"/>
              </w:rPr>
              <w:t>поддержка социально ориентированных некоммерческих организаций, благотворительной деятельности и добровольчества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26D77">
              <w:rPr>
                <w:rFonts w:ascii="Times New Roman" w:hAnsi="Times New Roman" w:cs="Times New Roman"/>
                <w:sz w:val="20"/>
                <w:szCs w:val="20"/>
              </w:rPr>
              <w:t>организации и осуществления региональных и межмуниципальных программ поддержки социально 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2551" w:type="dxa"/>
          </w:tcPr>
          <w:p w:rsidR="00AA016C" w:rsidRPr="0092038E" w:rsidRDefault="00AA016C" w:rsidP="00CA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29B">
              <w:rPr>
                <w:rFonts w:ascii="Times New Roman" w:hAnsi="Times New Roman" w:cs="Times New Roman"/>
                <w:sz w:val="20"/>
                <w:szCs w:val="20"/>
              </w:rPr>
              <w:t>оказание поддержки социально ориентированным некоммерческим организациям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29B">
              <w:rPr>
                <w:rFonts w:ascii="Times New Roman" w:hAnsi="Times New Roman" w:cs="Times New Roman"/>
                <w:sz w:val="20"/>
                <w:szCs w:val="20"/>
              </w:rPr>
              <w:t xml:space="preserve">в пределах полномочий, установленных </w:t>
            </w:r>
            <w:hyperlink r:id="rId13" w:history="1">
              <w:r w:rsidRPr="008C329B">
                <w:rPr>
                  <w:rFonts w:ascii="Times New Roman" w:hAnsi="Times New Roman" w:cs="Times New Roman"/>
                  <w:sz w:val="20"/>
                  <w:szCs w:val="20"/>
                </w:rPr>
                <w:t>статьями 31.1</w:t>
              </w:r>
            </w:hyperlink>
            <w:r w:rsidRPr="008C329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4" w:history="1">
              <w:r w:rsidRPr="008C329B">
                <w:rPr>
                  <w:rFonts w:ascii="Times New Roman" w:hAnsi="Times New Roman" w:cs="Times New Roman"/>
                  <w:sz w:val="20"/>
                  <w:szCs w:val="20"/>
                </w:rPr>
                <w:t>31.3</w:t>
              </w:r>
            </w:hyperlink>
            <w:r w:rsidRPr="008C329B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12 января 1996 года N 7-ФЗ "О некоммерческих организациях"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оказание поддержки</w:t>
            </w:r>
            <w:r w:rsidRPr="00D90B2E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      </w:r>
            <w:hyperlink r:id="rId15" w:history="1">
              <w:r w:rsidRPr="00D90B2E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D90B2E">
              <w:rPr>
                <w:rFonts w:ascii="Times New Roman" w:hAnsi="Times New Roman" w:cs="Times New Roman"/>
                <w:sz w:val="20"/>
                <w:szCs w:val="20"/>
              </w:rP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AA016C" w:rsidRPr="0092038E" w:rsidTr="00457BB9">
        <w:tc>
          <w:tcPr>
            <w:tcW w:w="3369" w:type="dxa"/>
          </w:tcPr>
          <w:p w:rsidR="00AA016C" w:rsidRPr="0092038E" w:rsidRDefault="00AA016C" w:rsidP="00402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A016C" w:rsidRPr="00726D77" w:rsidRDefault="00AA016C" w:rsidP="008C3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323327">
              <w:rPr>
                <w:rFonts w:ascii="Times New Roman" w:hAnsi="Times New Roman" w:cs="Times New Roman"/>
                <w:sz w:val="20"/>
                <w:szCs w:val="20"/>
              </w:rPr>
              <w:t xml:space="preserve"> и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3327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по опеке и попечительству</w:t>
            </w:r>
          </w:p>
        </w:tc>
        <w:tc>
          <w:tcPr>
            <w:tcW w:w="2551" w:type="dxa"/>
          </w:tcPr>
          <w:p w:rsidR="00AA016C" w:rsidRPr="0092038E" w:rsidRDefault="00AA016C" w:rsidP="008C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29B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8C329B">
              <w:rPr>
                <w:rFonts w:ascii="Times New Roman" w:hAnsi="Times New Roman" w:cs="Times New Roman"/>
                <w:sz w:val="20"/>
                <w:szCs w:val="20"/>
              </w:rPr>
              <w:t xml:space="preserve"> в осуществлении деятельности по опеке и попечительству</w:t>
            </w:r>
          </w:p>
        </w:tc>
      </w:tr>
      <w:tr w:rsidR="00AA016C" w:rsidRPr="0092038E" w:rsidTr="00457BB9">
        <w:tc>
          <w:tcPr>
            <w:tcW w:w="3369" w:type="dxa"/>
          </w:tcPr>
          <w:p w:rsidR="00AA016C" w:rsidRDefault="00AA016C" w:rsidP="00402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A016C" w:rsidRDefault="00AA016C" w:rsidP="00726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D77">
              <w:rPr>
                <w:rFonts w:ascii="Times New Roman" w:hAnsi="Times New Roman" w:cs="Times New Roman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551" w:type="dxa"/>
          </w:tcPr>
          <w:p w:rsidR="00AA016C" w:rsidRPr="0092038E" w:rsidRDefault="00AA016C" w:rsidP="00A61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FB41BC"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проживающих в поселении и нуждающихся в жилых помещениях малоимущих граждан жилыми помещениями</w:t>
            </w:r>
          </w:p>
        </w:tc>
      </w:tr>
      <w:tr w:rsidR="00AA016C" w:rsidRPr="0092038E" w:rsidTr="00457BB9">
        <w:tc>
          <w:tcPr>
            <w:tcW w:w="3369" w:type="dxa"/>
          </w:tcPr>
          <w:p w:rsidR="00AA016C" w:rsidRDefault="00AA016C" w:rsidP="00402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A016C" w:rsidRDefault="00AA016C" w:rsidP="00726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D77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 и социального обслуживания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 (за исключением детей, обучающихся в федеральных образовательных учреждениях), социальной поддержки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граждан, в том числе за счет предоставления субвенций местным бюджетам</w:t>
            </w:r>
          </w:p>
        </w:tc>
        <w:tc>
          <w:tcPr>
            <w:tcW w:w="2551" w:type="dxa"/>
          </w:tcPr>
          <w:p w:rsidR="00AA016C" w:rsidRPr="0092038E" w:rsidRDefault="00AA016C" w:rsidP="00A61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16C" w:rsidRPr="0092038E" w:rsidTr="00457BB9">
        <w:tc>
          <w:tcPr>
            <w:tcW w:w="3369" w:type="dxa"/>
          </w:tcPr>
          <w:p w:rsidR="00AA016C" w:rsidRPr="0092038E" w:rsidRDefault="00AA016C" w:rsidP="00402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методического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социальных служб</w:t>
            </w:r>
          </w:p>
        </w:tc>
        <w:tc>
          <w:tcPr>
            <w:tcW w:w="3544" w:type="dxa"/>
          </w:tcPr>
          <w:p w:rsidR="00AA016C" w:rsidRPr="0092038E" w:rsidRDefault="00AA016C" w:rsidP="00AA01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установление порядка координации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социальных служб;</w:t>
            </w:r>
          </w:p>
        </w:tc>
        <w:tc>
          <w:tcPr>
            <w:tcW w:w="2551" w:type="dxa"/>
          </w:tcPr>
          <w:p w:rsidR="00AA016C" w:rsidRPr="0092038E" w:rsidRDefault="00AA016C" w:rsidP="00A61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16C" w:rsidRPr="0092038E" w:rsidTr="00457BB9">
        <w:tc>
          <w:tcPr>
            <w:tcW w:w="3369" w:type="dxa"/>
          </w:tcPr>
          <w:p w:rsidR="00AA016C" w:rsidRPr="0092038E" w:rsidRDefault="00AA016C" w:rsidP="00402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единой федеральной системы статистического учета и отчетности в о</w:t>
            </w:r>
            <w:r w:rsidR="007D2B58">
              <w:rPr>
                <w:rFonts w:ascii="Times New Roman" w:hAnsi="Times New Roman" w:cs="Times New Roman"/>
                <w:sz w:val="20"/>
                <w:szCs w:val="20"/>
              </w:rPr>
              <w:t>бласти социального обслуживания</w:t>
            </w:r>
          </w:p>
        </w:tc>
        <w:tc>
          <w:tcPr>
            <w:tcW w:w="3544" w:type="dxa"/>
          </w:tcPr>
          <w:p w:rsidR="00AA016C" w:rsidRPr="0092038E" w:rsidRDefault="00457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полномочия</w:t>
            </w:r>
          </w:p>
        </w:tc>
        <w:tc>
          <w:tcPr>
            <w:tcW w:w="2551" w:type="dxa"/>
          </w:tcPr>
          <w:p w:rsidR="00AA016C" w:rsidRPr="0092038E" w:rsidRDefault="00AA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16C" w:rsidRPr="0092038E" w:rsidTr="00457BB9">
        <w:tc>
          <w:tcPr>
            <w:tcW w:w="3369" w:type="dxa"/>
          </w:tcPr>
          <w:p w:rsidR="00AA016C" w:rsidRPr="0092038E" w:rsidRDefault="00AA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координация научных исследований в о</w:t>
            </w:r>
            <w:r w:rsidR="007D2B58">
              <w:rPr>
                <w:rFonts w:ascii="Times New Roman" w:hAnsi="Times New Roman" w:cs="Times New Roman"/>
                <w:sz w:val="20"/>
                <w:szCs w:val="20"/>
              </w:rPr>
              <w:t>бласти социального обслуживания</w:t>
            </w:r>
          </w:p>
        </w:tc>
        <w:tc>
          <w:tcPr>
            <w:tcW w:w="3544" w:type="dxa"/>
          </w:tcPr>
          <w:p w:rsidR="00AA016C" w:rsidRPr="0092038E" w:rsidRDefault="00AA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A016C" w:rsidRPr="0092038E" w:rsidRDefault="00AA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16C" w:rsidRPr="0092038E" w:rsidTr="00457BB9">
        <w:tc>
          <w:tcPr>
            <w:tcW w:w="3369" w:type="dxa"/>
          </w:tcPr>
          <w:p w:rsidR="00AA016C" w:rsidRPr="0092038E" w:rsidRDefault="00AA016C" w:rsidP="00096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международного сотрудничества в области социального обслуживания</w:t>
            </w:r>
          </w:p>
        </w:tc>
        <w:tc>
          <w:tcPr>
            <w:tcW w:w="3544" w:type="dxa"/>
          </w:tcPr>
          <w:p w:rsidR="00AA016C" w:rsidRPr="0092038E" w:rsidRDefault="00AA016C" w:rsidP="00DD7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A016C" w:rsidRPr="0092038E" w:rsidRDefault="00AA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016C" w:rsidRDefault="00AA016C" w:rsidP="006B61A7">
      <w:pPr>
        <w:pStyle w:val="ac"/>
        <w:spacing w:after="0"/>
        <w:rPr>
          <w:rFonts w:ascii="Times New Roman" w:hAnsi="Times New Roman"/>
          <w:sz w:val="26"/>
          <w:szCs w:val="26"/>
        </w:rPr>
      </w:pPr>
    </w:p>
    <w:p w:rsidR="006B7A61" w:rsidRDefault="006853AB" w:rsidP="00EA5DEA">
      <w:pPr>
        <w:pStyle w:val="ac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6B7A61">
        <w:rPr>
          <w:rFonts w:ascii="Times New Roman" w:hAnsi="Times New Roman"/>
          <w:sz w:val="26"/>
          <w:szCs w:val="26"/>
        </w:rPr>
        <w:t>ейст</w:t>
      </w:r>
      <w:r>
        <w:rPr>
          <w:rFonts w:ascii="Times New Roman" w:hAnsi="Times New Roman"/>
          <w:sz w:val="26"/>
          <w:szCs w:val="26"/>
        </w:rPr>
        <w:t>вующая бюджетная классификации вы</w:t>
      </w:r>
      <w:r w:rsidR="006B7A61">
        <w:rPr>
          <w:rFonts w:ascii="Times New Roman" w:hAnsi="Times New Roman"/>
          <w:sz w:val="26"/>
          <w:szCs w:val="26"/>
        </w:rPr>
        <w:t>деляет следующие категории расхо</w:t>
      </w:r>
      <w:r w:rsidR="00A74A1E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ов по </w:t>
      </w:r>
      <w:r w:rsidR="006B7A61">
        <w:rPr>
          <w:rFonts w:ascii="Times New Roman" w:hAnsi="Times New Roman"/>
          <w:sz w:val="26"/>
          <w:szCs w:val="26"/>
        </w:rPr>
        <w:t xml:space="preserve">функциональному </w:t>
      </w:r>
      <w:r>
        <w:rPr>
          <w:rFonts w:ascii="Times New Roman" w:hAnsi="Times New Roman"/>
          <w:sz w:val="26"/>
          <w:szCs w:val="26"/>
        </w:rPr>
        <w:t>разделу «Социальная политика»:</w:t>
      </w:r>
    </w:p>
    <w:p w:rsidR="006B7A61" w:rsidRPr="006B7A61" w:rsidRDefault="006B7A61" w:rsidP="006B7A61">
      <w:pPr>
        <w:pStyle w:val="ac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6B7A61" w:rsidRPr="006B7A61" w:rsidTr="00457BB9">
        <w:tc>
          <w:tcPr>
            <w:tcW w:w="9571" w:type="dxa"/>
            <w:shd w:val="clear" w:color="auto" w:fill="F2F2F2" w:themeFill="background1" w:themeFillShade="F2"/>
          </w:tcPr>
          <w:p w:rsidR="006B7A61" w:rsidRPr="00457BB9" w:rsidRDefault="006B7A61" w:rsidP="006B7A6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457BB9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Состав раздела «социальная политика» в функциональной бюджетной классификации</w:t>
            </w:r>
          </w:p>
          <w:p w:rsidR="006B7A61" w:rsidRPr="006B7A61" w:rsidRDefault="00093286" w:rsidP="006B7A61">
            <w:pPr>
              <w:autoSpaceDE w:val="0"/>
              <w:autoSpaceDN w:val="0"/>
              <w:adjustRightInd w:val="0"/>
              <w:spacing w:after="240"/>
              <w:ind w:firstLine="539"/>
              <w:jc w:val="both"/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hyperlink r:id="rId16" w:history="1">
              <w:r w:rsidR="006B7A61" w:rsidRPr="006B7A61">
                <w:rPr>
                  <w:rFonts w:ascii="Times New Roman" w:hAnsi="Times New Roman" w:cs="Times New Roman"/>
                  <w:sz w:val="24"/>
                  <w:szCs w:val="26"/>
                  <w:u w:val="single"/>
                </w:rPr>
                <w:t>Раздел 1000</w:t>
              </w:r>
            </w:hyperlink>
            <w:r w:rsidR="006B7A61" w:rsidRPr="006B7A61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 "Социальная политика"</w:t>
            </w:r>
          </w:p>
          <w:p w:rsidR="006B7A61" w:rsidRPr="006B7A61" w:rsidRDefault="006B7A61" w:rsidP="006B7A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7A61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Подраздел 1001 "Пенсионное обеспечение</w:t>
            </w:r>
            <w:r w:rsidRPr="006B7A61">
              <w:rPr>
                <w:rFonts w:ascii="Times New Roman" w:hAnsi="Times New Roman" w:cs="Times New Roman"/>
                <w:sz w:val="24"/>
                <w:szCs w:val="26"/>
              </w:rPr>
              <w:t>"</w:t>
            </w:r>
          </w:p>
          <w:p w:rsidR="006B7A61" w:rsidRPr="006B7A61" w:rsidRDefault="006B7A61" w:rsidP="006B7A61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7A61">
              <w:rPr>
                <w:rFonts w:ascii="Times New Roman" w:hAnsi="Times New Roman" w:cs="Times New Roman"/>
                <w:sz w:val="24"/>
                <w:szCs w:val="26"/>
              </w:rPr>
              <w:t xml:space="preserve">расходы по выплате денежных пособий (не включая выплаты из Пенсионного Фонда), </w:t>
            </w:r>
          </w:p>
          <w:p w:rsidR="006B7A61" w:rsidRPr="006B7A61" w:rsidRDefault="006B7A61" w:rsidP="006B7A61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7A61">
              <w:rPr>
                <w:rFonts w:ascii="Times New Roman" w:hAnsi="Times New Roman" w:cs="Times New Roman"/>
                <w:sz w:val="24"/>
                <w:szCs w:val="26"/>
              </w:rPr>
              <w:t xml:space="preserve"> расходы по выплате пособий в натуральной форме, таких как предоставление жилья, питания престарелым, находящимся в специализированных учреждениях</w:t>
            </w:r>
          </w:p>
          <w:p w:rsidR="006B7A61" w:rsidRPr="006B7A61" w:rsidRDefault="006B7A61" w:rsidP="006B7A61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ind w:left="1423" w:hanging="35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7A61">
              <w:rPr>
                <w:rFonts w:ascii="Times New Roman" w:hAnsi="Times New Roman" w:cs="Times New Roman"/>
                <w:sz w:val="24"/>
                <w:szCs w:val="26"/>
              </w:rPr>
              <w:t xml:space="preserve"> расходы на выплату ежемесячного пожизненного содержания судьям в отставке, ежемесячной надбавки в размере пятидесяти процентов ежемесячного пожизненного содержания судьям, продолжающим работать, на предоставление государственных гарантий судьям в отставке.</w:t>
            </w:r>
          </w:p>
          <w:p w:rsidR="006B7A61" w:rsidRPr="006B7A61" w:rsidRDefault="006B7A61" w:rsidP="006B7A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7A61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Подраздел 1002 "Социальное обслуживание населения"</w:t>
            </w:r>
            <w:r w:rsidRPr="006B7A61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  <w:p w:rsidR="006B7A61" w:rsidRPr="006B7A61" w:rsidRDefault="006B7A61" w:rsidP="006B7A61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1259" w:hanging="35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7A61">
              <w:rPr>
                <w:rFonts w:ascii="Times New Roman" w:hAnsi="Times New Roman" w:cs="Times New Roman"/>
                <w:sz w:val="24"/>
                <w:szCs w:val="26"/>
              </w:rPr>
              <w:t>расходы на социальное обслуживание населения, обеспечение деятельности учреждений и организаций социального обслуживания).</w:t>
            </w:r>
          </w:p>
          <w:p w:rsidR="006B7A61" w:rsidRPr="006B7A61" w:rsidRDefault="006B7A61" w:rsidP="006B7A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 w:rsidRPr="006B7A61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Подраздел 1003 "Социальное обеспечение населения</w:t>
            </w:r>
          </w:p>
          <w:p w:rsidR="006B7A61" w:rsidRPr="006B7A61" w:rsidRDefault="006B7A61" w:rsidP="006B7A61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7A61">
              <w:rPr>
                <w:rFonts w:ascii="Times New Roman" w:hAnsi="Times New Roman" w:cs="Times New Roman"/>
                <w:sz w:val="24"/>
                <w:szCs w:val="26"/>
              </w:rPr>
              <w:t xml:space="preserve">расходы с обеспечением мер социальной поддержки граждан, включая все виды пособий и страховых выплат, </w:t>
            </w:r>
          </w:p>
          <w:p w:rsidR="006B7A61" w:rsidRPr="006B7A61" w:rsidRDefault="006B7A61" w:rsidP="006B7A61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7A61">
              <w:rPr>
                <w:rFonts w:ascii="Times New Roman" w:hAnsi="Times New Roman" w:cs="Times New Roman"/>
                <w:sz w:val="24"/>
                <w:szCs w:val="26"/>
              </w:rPr>
              <w:t xml:space="preserve">а также осуществление ежемесячных денежных выплат отдельным категориям граждан, осуществляемых Фондом социального страхования Российской Федерации и Пенсионным фондом Российской Федерации, </w:t>
            </w:r>
          </w:p>
          <w:p w:rsidR="006B7A61" w:rsidRPr="006B7A61" w:rsidRDefault="006B7A61" w:rsidP="006B7A61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7A61">
              <w:rPr>
                <w:rFonts w:ascii="Times New Roman" w:hAnsi="Times New Roman" w:cs="Times New Roman"/>
                <w:sz w:val="24"/>
                <w:szCs w:val="26"/>
              </w:rPr>
              <w:t>расходы на предоставление социальных выплат гражданам на приобретение (строительство) жилья, обеспечение инвалидов техническими средствами реабилитации, включая изготовление и ремонт протезно-ортопедических изделий, обеспечение путевками в установленных законодательством случаях (за исключением расходов на обеспечение путевками судей, пребывающих в отставке), другие аналогичные расходы</w:t>
            </w:r>
          </w:p>
          <w:p w:rsidR="006B7A61" w:rsidRPr="006B7A61" w:rsidRDefault="006B7A61" w:rsidP="006B7A61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1259" w:hanging="35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7A61">
              <w:rPr>
                <w:rFonts w:ascii="Times New Roman" w:hAnsi="Times New Roman" w:cs="Times New Roman"/>
                <w:sz w:val="24"/>
                <w:szCs w:val="26"/>
              </w:rPr>
              <w:t xml:space="preserve">расходы на выплату дополнительного материального обеспечения судьям, </w:t>
            </w:r>
            <w:r w:rsidRPr="006B7A61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пребывающим в отставке, в соответствии с федеральным законодательством.</w:t>
            </w:r>
          </w:p>
          <w:p w:rsidR="006B7A61" w:rsidRPr="006B7A61" w:rsidRDefault="006B7A61" w:rsidP="006B7A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 w:rsidRPr="006B7A61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Подраздел 1004 "Охрана семьи и детства" </w:t>
            </w:r>
          </w:p>
          <w:p w:rsidR="006B7A61" w:rsidRPr="006B7A61" w:rsidRDefault="006B7A61" w:rsidP="006B7A61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7A61">
              <w:rPr>
                <w:rFonts w:ascii="Times New Roman" w:hAnsi="Times New Roman" w:cs="Times New Roman"/>
                <w:sz w:val="24"/>
                <w:szCs w:val="26"/>
              </w:rPr>
              <w:t xml:space="preserve">предоставление мер социальной поддержки в виде пособий по опеке и попечительству; </w:t>
            </w:r>
          </w:p>
          <w:p w:rsidR="006B7A61" w:rsidRPr="006B7A61" w:rsidRDefault="006B7A61" w:rsidP="006B7A61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7A61">
              <w:rPr>
                <w:rFonts w:ascii="Times New Roman" w:hAnsi="Times New Roman" w:cs="Times New Roman"/>
                <w:sz w:val="24"/>
                <w:szCs w:val="26"/>
              </w:rPr>
              <w:t>компенсация части родительской платы за содержание ребенка в государственных и муниципальных учреждениях дошкольного образования;</w:t>
            </w:r>
          </w:p>
          <w:p w:rsidR="006B7A61" w:rsidRPr="006B7A61" w:rsidRDefault="006B7A61" w:rsidP="006B7A61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7A61">
              <w:rPr>
                <w:rFonts w:ascii="Times New Roman" w:hAnsi="Times New Roman" w:cs="Times New Roman"/>
                <w:sz w:val="24"/>
                <w:szCs w:val="26"/>
              </w:rPr>
              <w:t xml:space="preserve"> перевозка несовершеннолетних, самовольно ушедших из семей, детских домов, школ-интернатов, специальных учебно-воспитательных учреждений, </w:t>
            </w:r>
          </w:p>
          <w:p w:rsidR="006B7A61" w:rsidRPr="006B7A61" w:rsidRDefault="006B7A61" w:rsidP="006B7A61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7A61">
              <w:rPr>
                <w:rFonts w:ascii="Times New Roman" w:hAnsi="Times New Roman" w:cs="Times New Roman"/>
                <w:sz w:val="24"/>
                <w:szCs w:val="2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      </w:r>
          </w:p>
          <w:p w:rsidR="006B7A61" w:rsidRPr="006B7A61" w:rsidRDefault="006B7A61" w:rsidP="006B7A61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1259" w:hanging="35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7A61">
              <w:rPr>
                <w:rFonts w:ascii="Times New Roman" w:hAnsi="Times New Roman" w:cs="Times New Roman"/>
                <w:sz w:val="24"/>
                <w:szCs w:val="26"/>
              </w:rPr>
              <w:t>расходы на выплату гражданам, подвергшимся воздействию радиации вследствие радиационных аварий, ежемесячного пособия по уходу за ребенком в возрасте от полутора до трех лет.</w:t>
            </w:r>
          </w:p>
          <w:p w:rsidR="006B7A61" w:rsidRPr="006B7A61" w:rsidRDefault="006B7A61" w:rsidP="006B7A61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 w:rsidRPr="006B7A61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Подраздел 1005 "Прикладные научные исследования в области социальной политики":</w:t>
            </w:r>
          </w:p>
          <w:p w:rsidR="006B7A61" w:rsidRPr="006B7A61" w:rsidRDefault="006B7A61" w:rsidP="006B7A61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1259" w:hanging="35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7A61">
              <w:rPr>
                <w:rFonts w:ascii="Times New Roman" w:hAnsi="Times New Roman" w:cs="Times New Roman"/>
                <w:sz w:val="24"/>
                <w:szCs w:val="26"/>
              </w:rPr>
              <w:t>расходы на обеспечение деятельности государственных учреждений, осуществляющих прикладные исследования и экспериментальные разработки в области социальной политики, а также расходы на выполнение научно-исследовательских, опытно-конструкторских и технологических работ по государственным контрактам в области социальной политики.</w:t>
            </w:r>
          </w:p>
          <w:p w:rsidR="006B7A61" w:rsidRPr="006B7A61" w:rsidRDefault="006B7A61" w:rsidP="006B7A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 w:rsidRPr="006B7A61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Подраздел 1006 "Другие вопросы в области социальной политики"</w:t>
            </w:r>
          </w:p>
          <w:p w:rsidR="006B7A61" w:rsidRPr="006B7A61" w:rsidRDefault="006B7A61" w:rsidP="006B7A61">
            <w:pPr>
              <w:pStyle w:val="a7"/>
              <w:numPr>
                <w:ilvl w:val="0"/>
                <w:numId w:val="11"/>
              </w:numPr>
              <w:ind w:left="1276"/>
              <w:jc w:val="both"/>
              <w:rPr>
                <w:sz w:val="20"/>
              </w:rPr>
            </w:pPr>
            <w:r w:rsidRPr="006B7A61">
              <w:rPr>
                <w:rFonts w:ascii="Times New Roman" w:hAnsi="Times New Roman" w:cs="Times New Roman"/>
                <w:sz w:val="24"/>
                <w:szCs w:val="26"/>
              </w:rPr>
              <w:t>расходы на обеспечение деятельности органов исполнительной власти Российской Федерации, субъектов Российской Федерации и органов местного самоуправления, учреждений, осуществляющих руководство и управление в сфере социальной политики, расходы на разработку общей политики, программ, планов и бюджетов в области социальной политики, а также расходы на иные мероприятия в области социальной политики, которые не могут быть отнесены ни к одному из перечисленных подразделов.</w:t>
            </w:r>
          </w:p>
        </w:tc>
      </w:tr>
    </w:tbl>
    <w:p w:rsidR="006B7A61" w:rsidRPr="006B7A61" w:rsidRDefault="006B7A61" w:rsidP="006B7A61">
      <w:pPr>
        <w:jc w:val="both"/>
        <w:rPr>
          <w:sz w:val="20"/>
        </w:rPr>
      </w:pPr>
    </w:p>
    <w:p w:rsidR="00CC2EF2" w:rsidRDefault="006B7A61" w:rsidP="006B61A7">
      <w:pPr>
        <w:pStyle w:val="ac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состава действующей бюдж</w:t>
      </w:r>
      <w:r w:rsidR="003B718C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ной классификации по функциональному разделу «Социальная политика» показы</w:t>
      </w:r>
      <w:r w:rsidR="003B718C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ает, что </w:t>
      </w:r>
      <w:r w:rsidR="00A74A1E">
        <w:rPr>
          <w:rFonts w:ascii="Times New Roman" w:hAnsi="Times New Roman"/>
          <w:sz w:val="26"/>
          <w:szCs w:val="26"/>
        </w:rPr>
        <w:t xml:space="preserve">лишь один подраздел из </w:t>
      </w:r>
      <w:r w:rsidR="003E31E1">
        <w:rPr>
          <w:rFonts w:ascii="Times New Roman" w:hAnsi="Times New Roman"/>
          <w:sz w:val="26"/>
          <w:szCs w:val="26"/>
        </w:rPr>
        <w:t>6 (</w:t>
      </w:r>
      <w:r w:rsidR="003B718C">
        <w:rPr>
          <w:rFonts w:ascii="Times New Roman" w:hAnsi="Times New Roman"/>
          <w:sz w:val="26"/>
          <w:szCs w:val="26"/>
        </w:rPr>
        <w:t>п</w:t>
      </w:r>
      <w:r w:rsidR="00A74A1E">
        <w:rPr>
          <w:rFonts w:ascii="Times New Roman" w:hAnsi="Times New Roman"/>
          <w:sz w:val="26"/>
          <w:szCs w:val="26"/>
        </w:rPr>
        <w:t>одраздел 1002) содержит сведения об объем</w:t>
      </w:r>
      <w:r w:rsidR="003B718C">
        <w:rPr>
          <w:rFonts w:ascii="Times New Roman" w:hAnsi="Times New Roman"/>
          <w:sz w:val="26"/>
          <w:szCs w:val="26"/>
        </w:rPr>
        <w:t>а</w:t>
      </w:r>
      <w:r w:rsidR="00A74A1E">
        <w:rPr>
          <w:rFonts w:ascii="Times New Roman" w:hAnsi="Times New Roman"/>
          <w:sz w:val="26"/>
          <w:szCs w:val="26"/>
        </w:rPr>
        <w:t>х фин</w:t>
      </w:r>
      <w:r w:rsidR="003B718C">
        <w:rPr>
          <w:rFonts w:ascii="Times New Roman" w:hAnsi="Times New Roman"/>
          <w:sz w:val="26"/>
          <w:szCs w:val="26"/>
        </w:rPr>
        <w:t>ан</w:t>
      </w:r>
      <w:r w:rsidR="00A74A1E">
        <w:rPr>
          <w:rFonts w:ascii="Times New Roman" w:hAnsi="Times New Roman"/>
          <w:sz w:val="26"/>
          <w:szCs w:val="26"/>
        </w:rPr>
        <w:t>сиро</w:t>
      </w:r>
      <w:r w:rsidR="003B718C">
        <w:rPr>
          <w:rFonts w:ascii="Times New Roman" w:hAnsi="Times New Roman"/>
          <w:sz w:val="26"/>
          <w:szCs w:val="26"/>
        </w:rPr>
        <w:t>в</w:t>
      </w:r>
      <w:r w:rsidR="00A74A1E">
        <w:rPr>
          <w:rFonts w:ascii="Times New Roman" w:hAnsi="Times New Roman"/>
          <w:sz w:val="26"/>
          <w:szCs w:val="26"/>
        </w:rPr>
        <w:t xml:space="preserve">ания </w:t>
      </w:r>
      <w:r w:rsidR="003E31E1">
        <w:rPr>
          <w:rFonts w:ascii="Times New Roman" w:hAnsi="Times New Roman"/>
          <w:sz w:val="26"/>
          <w:szCs w:val="26"/>
        </w:rPr>
        <w:t>социальн</w:t>
      </w:r>
      <w:r w:rsidR="003B718C">
        <w:rPr>
          <w:rFonts w:ascii="Times New Roman" w:hAnsi="Times New Roman"/>
          <w:sz w:val="26"/>
          <w:szCs w:val="26"/>
        </w:rPr>
        <w:t>ы</w:t>
      </w:r>
      <w:r w:rsidR="003E31E1">
        <w:rPr>
          <w:rFonts w:ascii="Times New Roman" w:hAnsi="Times New Roman"/>
          <w:sz w:val="26"/>
          <w:szCs w:val="26"/>
        </w:rPr>
        <w:t>х ус</w:t>
      </w:r>
      <w:r w:rsidR="003B718C">
        <w:rPr>
          <w:rFonts w:ascii="Times New Roman" w:hAnsi="Times New Roman"/>
          <w:sz w:val="26"/>
          <w:szCs w:val="26"/>
        </w:rPr>
        <w:t>л</w:t>
      </w:r>
      <w:r w:rsidR="003E31E1">
        <w:rPr>
          <w:rFonts w:ascii="Times New Roman" w:hAnsi="Times New Roman"/>
          <w:sz w:val="26"/>
          <w:szCs w:val="26"/>
        </w:rPr>
        <w:t>уг. Подразделы 1001, 1003 и 1004 связаны почти исключительно с передачей населению денежных и неденежных трансфертов.</w:t>
      </w:r>
    </w:p>
    <w:p w:rsidR="00287411" w:rsidRDefault="00287411" w:rsidP="006B61A7">
      <w:pPr>
        <w:pStyle w:val="ac"/>
        <w:spacing w:after="0"/>
        <w:rPr>
          <w:rFonts w:ascii="Times New Roman" w:hAnsi="Times New Roman"/>
          <w:sz w:val="26"/>
          <w:szCs w:val="26"/>
        </w:rPr>
      </w:pPr>
    </w:p>
    <w:p w:rsidR="009070C9" w:rsidRDefault="009070C9" w:rsidP="006B61A7">
      <w:pPr>
        <w:pStyle w:val="ac"/>
        <w:spacing w:after="0"/>
        <w:rPr>
          <w:rFonts w:ascii="Times New Roman" w:hAnsi="Times New Roman"/>
          <w:sz w:val="26"/>
          <w:szCs w:val="26"/>
        </w:rPr>
        <w:sectPr w:rsidR="009070C9" w:rsidSect="00A612C3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E0E" w:rsidRDefault="007D2B58" w:rsidP="003B1E41">
      <w:pPr>
        <w:pStyle w:val="ac"/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Таблица. </w:t>
      </w:r>
      <w:r w:rsidR="00D608B3">
        <w:rPr>
          <w:rFonts w:ascii="Times New Roman" w:hAnsi="Times New Roman"/>
          <w:sz w:val="26"/>
          <w:szCs w:val="26"/>
        </w:rPr>
        <w:t>Р</w:t>
      </w:r>
      <w:r w:rsidR="003B1E41">
        <w:rPr>
          <w:rFonts w:ascii="Times New Roman" w:hAnsi="Times New Roman"/>
          <w:sz w:val="26"/>
          <w:szCs w:val="26"/>
        </w:rPr>
        <w:t xml:space="preserve">асходы бюджетов всех уровне по разделу 1000 «Социальная политика» в 2012 году, </w:t>
      </w:r>
      <w:r w:rsidR="008F67B1">
        <w:rPr>
          <w:rFonts w:ascii="Times New Roman" w:hAnsi="Times New Roman"/>
          <w:sz w:val="26"/>
          <w:szCs w:val="26"/>
        </w:rPr>
        <w:t>млрд.</w:t>
      </w:r>
      <w:r w:rsidR="003B1E41">
        <w:rPr>
          <w:rFonts w:ascii="Times New Roman" w:hAnsi="Times New Roman"/>
          <w:sz w:val="26"/>
          <w:szCs w:val="26"/>
        </w:rPr>
        <w:t xml:space="preserve"> руб.</w:t>
      </w:r>
    </w:p>
    <w:tbl>
      <w:tblPr>
        <w:tblW w:w="14619" w:type="dxa"/>
        <w:tblInd w:w="93" w:type="dxa"/>
        <w:tblLook w:val="04A0" w:firstRow="1" w:lastRow="0" w:firstColumn="1" w:lastColumn="0" w:noHBand="0" w:noVBand="1"/>
      </w:tblPr>
      <w:tblGrid>
        <w:gridCol w:w="740"/>
        <w:gridCol w:w="2154"/>
        <w:gridCol w:w="1944"/>
        <w:gridCol w:w="1701"/>
        <w:gridCol w:w="1559"/>
        <w:gridCol w:w="1559"/>
        <w:gridCol w:w="1560"/>
        <w:gridCol w:w="1701"/>
        <w:gridCol w:w="1701"/>
      </w:tblGrid>
      <w:tr w:rsidR="00BF3BB7" w:rsidRPr="008218EE" w:rsidTr="002F581F">
        <w:trPr>
          <w:trHeight w:val="11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Трансферты из федерального бюджета в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Трансферты из федерального в региональные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  <w:r w:rsidR="008F67B1"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фед.</w:t>
            </w: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 после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Трансферты из региональных бюджетов в 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Трансферты из региональных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региональных бюджетов после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местных бюджетов</w:t>
            </w:r>
          </w:p>
        </w:tc>
      </w:tr>
      <w:tr w:rsidR="00BF3BB7" w:rsidRPr="008218EE" w:rsidTr="002F581F"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BB7" w:rsidRPr="002F581F" w:rsidRDefault="00BF3BB7" w:rsidP="0082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3BB7" w:rsidRPr="002F581F" w:rsidRDefault="00BF3BB7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B7" w:rsidRPr="002F581F" w:rsidRDefault="00BF3BB7" w:rsidP="0018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B7" w:rsidRPr="002F581F" w:rsidRDefault="00BF3BB7" w:rsidP="0018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B7" w:rsidRPr="002F581F" w:rsidRDefault="00BF3BB7" w:rsidP="0018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B7" w:rsidRPr="002F581F" w:rsidRDefault="00BF3BB7" w:rsidP="0018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B7" w:rsidRPr="002F581F" w:rsidRDefault="00BF3BB7" w:rsidP="0018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B7" w:rsidRPr="002F581F" w:rsidRDefault="00BF3BB7" w:rsidP="0018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B7" w:rsidRPr="002F581F" w:rsidRDefault="00BF3BB7" w:rsidP="0018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070C9" w:rsidRPr="008218EE" w:rsidTr="002F581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8EE" w:rsidRPr="002F581F" w:rsidRDefault="008218EE" w:rsidP="0082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02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2 239 801 103,7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82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6 176 081,4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82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474 500 603,2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02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535 344,2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82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38 746,03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02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13 375 869,</w:t>
            </w:r>
            <w:r w:rsidR="000272BE"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02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5 645 942,3</w:t>
            </w:r>
          </w:p>
        </w:tc>
      </w:tr>
      <w:tr w:rsidR="009070C9" w:rsidRPr="008218EE" w:rsidTr="002F581F">
        <w:trPr>
          <w:trHeight w:val="5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EE" w:rsidRPr="002F581F" w:rsidRDefault="008218EE" w:rsidP="0082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02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7 942 647,5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82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17 200 130,21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02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175 975 499,8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02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19 307 647,3</w:t>
            </w:r>
          </w:p>
        </w:tc>
      </w:tr>
      <w:tr w:rsidR="001838D0" w:rsidRPr="008218EE" w:rsidTr="002F581F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18EE" w:rsidRPr="002F581F" w:rsidRDefault="008218EE" w:rsidP="0082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02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547 758 840,2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82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3 377 876,6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82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352 868 847,3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02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9 230 593,</w:t>
            </w:r>
            <w:r w:rsidR="000272BE"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02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164 401 541,</w:t>
            </w:r>
            <w:r w:rsidR="000272BE"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0272BE" w:rsidP="0002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742 735 760</w:t>
            </w:r>
            <w:r w:rsidR="008218EE"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</w:t>
            </w: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02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194 858 626,1</w:t>
            </w:r>
          </w:p>
        </w:tc>
      </w:tr>
      <w:tr w:rsidR="001838D0" w:rsidRPr="008218EE" w:rsidTr="002F581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18EE" w:rsidRPr="002F581F" w:rsidRDefault="008218EE" w:rsidP="0082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материнства и детства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02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207 679 408,1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02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11 187 856,3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82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39 981,73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02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50 396 781,</w:t>
            </w:r>
            <w:r w:rsidR="000272BE"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02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28 437 28</w:t>
            </w:r>
            <w:r w:rsidR="000272BE"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02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49 094 973,</w:t>
            </w:r>
            <w:r w:rsidR="000272BE"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838D0" w:rsidRPr="008218EE" w:rsidTr="002F581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18EE" w:rsidRPr="002F581F" w:rsidRDefault="008218EE" w:rsidP="0082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Прикладные НИР в области социальной политики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02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142 105,7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82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3BB7" w:rsidRPr="008218EE" w:rsidTr="002F581F">
        <w:trPr>
          <w:trHeight w:val="5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8EE" w:rsidRPr="002F581F" w:rsidRDefault="008218EE" w:rsidP="0082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(управление)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02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1 020 333,8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02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4 775 837,9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82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9 653 022,92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8218EE" w:rsidP="0082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38 634 416,55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EE" w:rsidRPr="002F581F" w:rsidRDefault="000272BE" w:rsidP="0002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14 956 307,1</w:t>
            </w:r>
          </w:p>
        </w:tc>
      </w:tr>
      <w:tr w:rsidR="009070C9" w:rsidRPr="008218EE" w:rsidTr="009070C9">
        <w:trPr>
          <w:trHeight w:val="288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9" w:rsidRPr="002F581F" w:rsidRDefault="009070C9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расходы из федерального бюджета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0C9" w:rsidRPr="002F581F" w:rsidRDefault="009070C9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C9" w:rsidRPr="002F581F" w:rsidRDefault="009070C9" w:rsidP="0082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3 857 231 541,70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0C9" w:rsidRPr="002F581F" w:rsidRDefault="009070C9" w:rsidP="0082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70C9" w:rsidRPr="008218EE" w:rsidTr="009070C9">
        <w:trPr>
          <w:trHeight w:val="288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0C9" w:rsidRPr="002F581F" w:rsidRDefault="009070C9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расходы консолидированных региональных бюджетов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70C9" w:rsidRPr="002F581F" w:rsidRDefault="009070C9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0C9" w:rsidRPr="002F581F" w:rsidRDefault="009070C9" w:rsidP="0082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0C9" w:rsidRPr="002F581F" w:rsidRDefault="009070C9" w:rsidP="0002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1 534 518 559,1</w:t>
            </w:r>
          </w:p>
        </w:tc>
      </w:tr>
      <w:tr w:rsidR="009070C9" w:rsidRPr="008218EE" w:rsidTr="009070C9">
        <w:trPr>
          <w:trHeight w:val="288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0C9" w:rsidRPr="002F581F" w:rsidRDefault="009070C9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расходы бюджетов всех уровне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70C9" w:rsidRPr="002F581F" w:rsidRDefault="009070C9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0C9" w:rsidRPr="002F581F" w:rsidRDefault="009070C9" w:rsidP="000272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581F">
              <w:rPr>
                <w:rFonts w:ascii="Times New Roman" w:hAnsi="Times New Roman" w:cs="Times New Roman"/>
                <w:color w:val="000000"/>
              </w:rPr>
              <w:t>5 391 750 100,8</w:t>
            </w:r>
          </w:p>
        </w:tc>
      </w:tr>
      <w:tr w:rsidR="009070C9" w:rsidRPr="008218EE" w:rsidTr="009070C9">
        <w:trPr>
          <w:trHeight w:val="288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0C9" w:rsidRPr="002F581F" w:rsidRDefault="009070C9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 социальное обслуживание населения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70C9" w:rsidRPr="002F581F" w:rsidRDefault="009070C9" w:rsidP="008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0C9" w:rsidRPr="002F581F" w:rsidRDefault="001838D0" w:rsidP="001838D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F581F">
              <w:rPr>
                <w:rFonts w:ascii="Times New Roman" w:hAnsi="Times New Roman" w:cs="Times New Roman"/>
                <w:b/>
                <w:color w:val="000000"/>
              </w:rPr>
              <w:t>203 225 794,6</w:t>
            </w:r>
          </w:p>
        </w:tc>
      </w:tr>
    </w:tbl>
    <w:p w:rsidR="008218EE" w:rsidRPr="00170ED6" w:rsidRDefault="00170ED6" w:rsidP="00421E0E">
      <w:pPr>
        <w:pStyle w:val="ac"/>
        <w:spacing w:after="0"/>
        <w:ind w:firstLine="0"/>
        <w:rPr>
          <w:rFonts w:ascii="Times New Roman" w:hAnsi="Times New Roman"/>
          <w:sz w:val="20"/>
          <w:szCs w:val="20"/>
        </w:rPr>
      </w:pPr>
      <w:r w:rsidRPr="00170ED6">
        <w:rPr>
          <w:rFonts w:ascii="Times New Roman" w:hAnsi="Times New Roman"/>
          <w:i/>
          <w:sz w:val="20"/>
          <w:szCs w:val="20"/>
        </w:rPr>
        <w:t>Источник:</w:t>
      </w:r>
      <w:r w:rsidR="00D608B3">
        <w:rPr>
          <w:rFonts w:ascii="Times New Roman" w:hAnsi="Times New Roman"/>
          <w:sz w:val="20"/>
          <w:szCs w:val="20"/>
        </w:rPr>
        <w:t xml:space="preserve"> </w:t>
      </w:r>
      <w:r w:rsidR="007D2B58">
        <w:rPr>
          <w:rFonts w:ascii="Times New Roman" w:hAnsi="Times New Roman"/>
          <w:sz w:val="20"/>
          <w:szCs w:val="20"/>
        </w:rPr>
        <w:t>расчеты ЦФП</w:t>
      </w:r>
      <w:r w:rsidRPr="00170ED6">
        <w:rPr>
          <w:rFonts w:ascii="Times New Roman" w:hAnsi="Times New Roman"/>
          <w:sz w:val="20"/>
          <w:szCs w:val="20"/>
        </w:rPr>
        <w:t xml:space="preserve"> на основании данных об исполнении федерального бюджета за 2012 год и данных Росказначейства об исполнении консолидированных региональных бюджетов, бюджетов регионов и местных бюджетов.</w:t>
      </w:r>
    </w:p>
    <w:p w:rsidR="00170ED6" w:rsidRDefault="00170ED6" w:rsidP="00421E0E">
      <w:pPr>
        <w:pStyle w:val="ac"/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170ED6" w:rsidRDefault="00170ED6" w:rsidP="00421E0E">
      <w:pPr>
        <w:pStyle w:val="ac"/>
        <w:spacing w:after="0"/>
        <w:ind w:firstLine="0"/>
        <w:rPr>
          <w:rFonts w:ascii="Times New Roman" w:hAnsi="Times New Roman"/>
          <w:sz w:val="26"/>
          <w:szCs w:val="26"/>
        </w:rPr>
        <w:sectPr w:rsidR="00170ED6" w:rsidSect="00BF3BB7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1838D0" w:rsidRDefault="001838D0" w:rsidP="001838D0">
      <w:pPr>
        <w:pStyle w:val="ac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Фактические расходы федерального, региональных и местных бюджетов в 2012году  по подразделам раздела 10 функциональной классификации расходов бюджетов «Социальная политика» представлены в таблице 4 (см.). Данные этой таблицы показывают, что основной объем бюджетных расходов по разделу «Социальная политика» приходится на перечисления в социальные фонды (Пенсионный, Фонд социального страхования) и социальное обеспечение (социальные выплаты). Собственно на социальное обслуживание населения, которое является предметом настоящего исследования, приходится лишь порядка 4% расходов бюджетов  всех уровней по этому разделу.</w:t>
      </w:r>
    </w:p>
    <w:p w:rsidR="00421E0E" w:rsidRDefault="001838D0" w:rsidP="006335F8">
      <w:pPr>
        <w:pStyle w:val="ac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Данные, представленные в таб. 4, показывают, что основной объем расходов на социальное обслуживание населения приходится на региональные бюджеты   -     </w:t>
      </w:r>
      <w:r w:rsidRPr="009070C9">
        <w:rPr>
          <w:rFonts w:ascii="Times New Roman" w:hAnsi="Times New Roman"/>
          <w:sz w:val="26"/>
          <w:szCs w:val="26"/>
        </w:rPr>
        <w:t>193 175 630 тыс. руб</w:t>
      </w:r>
      <w:r>
        <w:rPr>
          <w:rFonts w:ascii="Times New Roman" w:hAnsi="Times New Roman"/>
          <w:sz w:val="26"/>
          <w:szCs w:val="26"/>
        </w:rPr>
        <w:t>.</w:t>
      </w:r>
      <w:r w:rsidRPr="009070C9">
        <w:rPr>
          <w:rFonts w:ascii="Times New Roman" w:hAnsi="Times New Roman"/>
          <w:sz w:val="26"/>
          <w:szCs w:val="26"/>
        </w:rPr>
        <w:t xml:space="preserve"> из 203 225 794,63 руб</w:t>
      </w:r>
      <w:r>
        <w:rPr>
          <w:rFonts w:ascii="Times New Roman" w:hAnsi="Times New Roman"/>
          <w:sz w:val="26"/>
          <w:szCs w:val="26"/>
        </w:rPr>
        <w:t>.</w:t>
      </w:r>
      <w:r w:rsidRPr="009070C9">
        <w:rPr>
          <w:rFonts w:ascii="Times New Roman" w:hAnsi="Times New Roman"/>
          <w:sz w:val="26"/>
          <w:szCs w:val="26"/>
        </w:rPr>
        <w:t xml:space="preserve">, которые </w:t>
      </w:r>
      <w:r w:rsidR="00C43CB6">
        <w:rPr>
          <w:rFonts w:ascii="Times New Roman" w:hAnsi="Times New Roman"/>
          <w:sz w:val="26"/>
          <w:szCs w:val="26"/>
        </w:rPr>
        <w:t>выделяются</w:t>
      </w:r>
      <w:r w:rsidRPr="009070C9">
        <w:rPr>
          <w:rFonts w:ascii="Times New Roman" w:hAnsi="Times New Roman"/>
          <w:sz w:val="26"/>
          <w:szCs w:val="26"/>
        </w:rPr>
        <w:t xml:space="preserve"> на социальное обслуживание населения из бюджетов всех уровней. </w:t>
      </w:r>
      <w:r>
        <w:rPr>
          <w:rFonts w:ascii="Times New Roman" w:hAnsi="Times New Roman"/>
          <w:sz w:val="26"/>
          <w:szCs w:val="26"/>
        </w:rPr>
        <w:t>При этом расходы местных бюджетов на социальное обслуживание населения финансируются почти исключительно за счет региональных бюджетных трансфертов, а не за счет собственных средств местных бюджетов (</w:t>
      </w:r>
      <w:r w:rsidRPr="0029701F">
        <w:rPr>
          <w:rFonts w:ascii="Times New Roman" w:hAnsi="Times New Roman"/>
          <w:sz w:val="26"/>
          <w:szCs w:val="26"/>
        </w:rPr>
        <w:t>17 200 130 тыс. руб. из 19 307 647 тыс. ру</w:t>
      </w:r>
      <w:r>
        <w:rPr>
          <w:rFonts w:ascii="Times New Roman" w:hAnsi="Times New Roman"/>
          <w:sz w:val="26"/>
          <w:szCs w:val="26"/>
        </w:rPr>
        <w:t>б.</w:t>
      </w:r>
      <w:r w:rsidRPr="0029701F">
        <w:rPr>
          <w:rFonts w:ascii="Times New Roman" w:hAnsi="Times New Roman"/>
          <w:sz w:val="26"/>
          <w:szCs w:val="26"/>
        </w:rPr>
        <w:t>, или 89%)</w:t>
      </w:r>
      <w:r>
        <w:rPr>
          <w:rFonts w:ascii="Times New Roman" w:hAnsi="Times New Roman"/>
          <w:sz w:val="26"/>
          <w:szCs w:val="26"/>
        </w:rPr>
        <w:t xml:space="preserve">. Из федерального бюджета финансируется содержание федеральных учреждений социального обслуживания – эти расходы составляют </w:t>
      </w:r>
      <w:r w:rsidR="00FC1C95">
        <w:rPr>
          <w:rFonts w:ascii="Times New Roman" w:hAnsi="Times New Roman"/>
          <w:sz w:val="26"/>
          <w:szCs w:val="26"/>
        </w:rPr>
        <w:t>не более</w:t>
      </w:r>
      <w:r>
        <w:rPr>
          <w:rFonts w:ascii="Times New Roman" w:hAnsi="Times New Roman"/>
          <w:sz w:val="26"/>
          <w:szCs w:val="26"/>
        </w:rPr>
        <w:t xml:space="preserve"> 4% от </w:t>
      </w:r>
      <w:r w:rsidR="00FC1C95">
        <w:rPr>
          <w:rFonts w:ascii="Times New Roman" w:hAnsi="Times New Roman"/>
          <w:sz w:val="26"/>
          <w:szCs w:val="26"/>
        </w:rPr>
        <w:t xml:space="preserve">всех бюджетных </w:t>
      </w:r>
      <w:r>
        <w:rPr>
          <w:rFonts w:ascii="Times New Roman" w:hAnsi="Times New Roman"/>
          <w:sz w:val="26"/>
          <w:szCs w:val="26"/>
        </w:rPr>
        <w:t xml:space="preserve"> расходов на социальное обслуживание населения</w:t>
      </w:r>
      <w:r w:rsidR="00FC1C95">
        <w:rPr>
          <w:rFonts w:ascii="Times New Roman" w:hAnsi="Times New Roman"/>
          <w:sz w:val="26"/>
          <w:szCs w:val="26"/>
        </w:rPr>
        <w:t>.</w:t>
      </w:r>
    </w:p>
    <w:p w:rsidR="00FC1C95" w:rsidRPr="006B61A7" w:rsidRDefault="00FC1C95" w:rsidP="006335F8">
      <w:pPr>
        <w:pStyle w:val="ac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Итак, </w:t>
      </w:r>
      <w:r w:rsidR="00D608B3">
        <w:rPr>
          <w:rFonts w:ascii="Times New Roman" w:hAnsi="Times New Roman"/>
          <w:sz w:val="26"/>
          <w:szCs w:val="26"/>
        </w:rPr>
        <w:t xml:space="preserve">анализ фактически </w:t>
      </w:r>
      <w:r w:rsidR="008F67B1">
        <w:rPr>
          <w:rFonts w:ascii="Times New Roman" w:hAnsi="Times New Roman"/>
          <w:sz w:val="26"/>
          <w:szCs w:val="26"/>
        </w:rPr>
        <w:t>произведённых</w:t>
      </w:r>
      <w:r w:rsidR="00D608B3">
        <w:rPr>
          <w:rFonts w:ascii="Times New Roman" w:hAnsi="Times New Roman"/>
          <w:sz w:val="26"/>
          <w:szCs w:val="26"/>
        </w:rPr>
        <w:t xml:space="preserve"> в 2012 году расходов за счет бюджетов всех уровне показал, что </w:t>
      </w:r>
      <w:r>
        <w:rPr>
          <w:rFonts w:ascii="Times New Roman" w:hAnsi="Times New Roman"/>
          <w:sz w:val="26"/>
          <w:szCs w:val="26"/>
        </w:rPr>
        <w:t>социальная политика  состо</w:t>
      </w:r>
      <w:r w:rsidR="00D608B3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 в покрытии дефицит</w:t>
      </w:r>
      <w:r w:rsidR="00170ED6">
        <w:rPr>
          <w:rFonts w:ascii="Times New Roman" w:hAnsi="Times New Roman"/>
          <w:sz w:val="26"/>
          <w:szCs w:val="26"/>
        </w:rPr>
        <w:t>а</w:t>
      </w:r>
      <w:r w:rsidR="00D608B3">
        <w:rPr>
          <w:rFonts w:ascii="Times New Roman" w:hAnsi="Times New Roman"/>
          <w:sz w:val="26"/>
          <w:szCs w:val="26"/>
        </w:rPr>
        <w:t xml:space="preserve"> (потребности в средствах на текущие нужды)</w:t>
      </w:r>
      <w:r>
        <w:rPr>
          <w:rFonts w:ascii="Times New Roman" w:hAnsi="Times New Roman"/>
          <w:sz w:val="26"/>
          <w:szCs w:val="26"/>
        </w:rPr>
        <w:t xml:space="preserve"> Пенсионного фонда и Ф</w:t>
      </w:r>
      <w:r w:rsidR="00170ED6">
        <w:rPr>
          <w:rFonts w:ascii="Times New Roman" w:hAnsi="Times New Roman"/>
          <w:sz w:val="26"/>
          <w:szCs w:val="26"/>
        </w:rPr>
        <w:t>о</w:t>
      </w:r>
      <w:r w:rsidR="00D608B3">
        <w:rPr>
          <w:rFonts w:ascii="Times New Roman" w:hAnsi="Times New Roman"/>
          <w:sz w:val="26"/>
          <w:szCs w:val="26"/>
        </w:rPr>
        <w:t>нда социального страхо</w:t>
      </w:r>
      <w:r>
        <w:rPr>
          <w:rFonts w:ascii="Times New Roman" w:hAnsi="Times New Roman"/>
          <w:sz w:val="26"/>
          <w:szCs w:val="26"/>
        </w:rPr>
        <w:t>вания</w:t>
      </w:r>
      <w:r w:rsidR="00170ED6">
        <w:rPr>
          <w:rFonts w:ascii="Times New Roman" w:hAnsi="Times New Roman"/>
          <w:sz w:val="26"/>
          <w:szCs w:val="26"/>
        </w:rPr>
        <w:t xml:space="preserve"> в основном за счет средств федерального бюджета</w:t>
      </w:r>
      <w:r>
        <w:rPr>
          <w:rFonts w:ascii="Times New Roman" w:hAnsi="Times New Roman"/>
          <w:sz w:val="26"/>
          <w:szCs w:val="26"/>
        </w:rPr>
        <w:t>, а также выплате пен</w:t>
      </w:r>
      <w:r w:rsidR="00170ED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ий некоторым категориям служащих непосредственно из федерального бюджета, в предоставлении </w:t>
      </w:r>
      <w:r w:rsidR="00170ED6">
        <w:rPr>
          <w:rFonts w:ascii="Times New Roman" w:hAnsi="Times New Roman"/>
          <w:sz w:val="26"/>
          <w:szCs w:val="26"/>
        </w:rPr>
        <w:t>социального обеспечения (социальных выплат) некоторым категори</w:t>
      </w:r>
      <w:r w:rsidR="00D608B3">
        <w:rPr>
          <w:rFonts w:ascii="Times New Roman" w:hAnsi="Times New Roman"/>
          <w:sz w:val="26"/>
          <w:szCs w:val="26"/>
        </w:rPr>
        <w:t>я</w:t>
      </w:r>
      <w:r w:rsidR="00170ED6">
        <w:rPr>
          <w:rFonts w:ascii="Times New Roman" w:hAnsi="Times New Roman"/>
          <w:sz w:val="26"/>
          <w:szCs w:val="26"/>
        </w:rPr>
        <w:t xml:space="preserve">м населения, </w:t>
      </w:r>
      <w:r w:rsidR="008F67B1">
        <w:rPr>
          <w:rFonts w:ascii="Times New Roman" w:hAnsi="Times New Roman"/>
          <w:sz w:val="26"/>
          <w:szCs w:val="26"/>
        </w:rPr>
        <w:t>включая выплаты в поддержку материнства и детства, а также в социальном обслуживании населения, которое является полномочием регионов и осуществляется в основном за счет средств региональных бюджетов. Именно последняя категория расходов является предметом настоящего анализа.</w:t>
      </w:r>
    </w:p>
    <w:p w:rsidR="007F6BA5" w:rsidRPr="002F581F" w:rsidRDefault="00814207" w:rsidP="0061498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  <w:r w:rsidR="00D608B3" w:rsidRPr="002F581F">
        <w:rPr>
          <w:rFonts w:ascii="Times New Roman" w:hAnsi="Times New Roman"/>
          <w:sz w:val="26"/>
          <w:szCs w:val="26"/>
        </w:rPr>
        <w:lastRenderedPageBreak/>
        <w:t xml:space="preserve">Далее </w:t>
      </w:r>
      <w:r w:rsidR="002F581F" w:rsidRPr="002F581F">
        <w:rPr>
          <w:rFonts w:ascii="Times New Roman" w:hAnsi="Times New Roman"/>
          <w:sz w:val="26"/>
          <w:szCs w:val="26"/>
        </w:rPr>
        <w:t xml:space="preserve">рассмотрены </w:t>
      </w:r>
      <w:r w:rsidR="00D404F9" w:rsidRPr="002F581F">
        <w:rPr>
          <w:rFonts w:ascii="Times New Roman" w:hAnsi="Times New Roman"/>
          <w:sz w:val="26"/>
          <w:szCs w:val="26"/>
        </w:rPr>
        <w:t xml:space="preserve">параметры фактических расходов субъектов РФ в </w:t>
      </w:r>
      <w:r w:rsidR="00D608B3" w:rsidRPr="002F581F">
        <w:rPr>
          <w:rFonts w:ascii="Times New Roman" w:hAnsi="Times New Roman"/>
          <w:sz w:val="26"/>
          <w:szCs w:val="26"/>
        </w:rPr>
        <w:t>сфере социального обслуж</w:t>
      </w:r>
      <w:r w:rsidR="00D54254" w:rsidRPr="002F581F">
        <w:rPr>
          <w:rFonts w:ascii="Times New Roman" w:hAnsi="Times New Roman"/>
          <w:sz w:val="26"/>
          <w:szCs w:val="26"/>
        </w:rPr>
        <w:t>и</w:t>
      </w:r>
      <w:r w:rsidR="00D608B3" w:rsidRPr="002F581F">
        <w:rPr>
          <w:rFonts w:ascii="Times New Roman" w:hAnsi="Times New Roman"/>
          <w:sz w:val="26"/>
          <w:szCs w:val="26"/>
        </w:rPr>
        <w:t>вания населения и проведем межрегиональные сравнения</w:t>
      </w:r>
      <w:r w:rsidR="00D404F9" w:rsidRPr="002F581F">
        <w:rPr>
          <w:rFonts w:ascii="Times New Roman" w:hAnsi="Times New Roman"/>
          <w:sz w:val="26"/>
          <w:szCs w:val="26"/>
        </w:rPr>
        <w:t>.</w:t>
      </w:r>
    </w:p>
    <w:p w:rsidR="00D404F9" w:rsidRPr="006335F8" w:rsidRDefault="00D404F9" w:rsidP="006335F8">
      <w:pPr>
        <w:pStyle w:val="ac"/>
        <w:spacing w:after="0"/>
        <w:rPr>
          <w:rFonts w:ascii="Times New Roman" w:hAnsi="Times New Roman"/>
          <w:sz w:val="26"/>
          <w:szCs w:val="26"/>
        </w:rPr>
      </w:pPr>
    </w:p>
    <w:p w:rsidR="00D404F9" w:rsidRPr="002F581F" w:rsidRDefault="00D404F9" w:rsidP="006335F8">
      <w:pPr>
        <w:pStyle w:val="ac"/>
        <w:spacing w:after="0"/>
        <w:rPr>
          <w:rFonts w:ascii="Times New Roman" w:hAnsi="Times New Roman"/>
          <w:sz w:val="26"/>
          <w:szCs w:val="26"/>
        </w:rPr>
      </w:pPr>
    </w:p>
    <w:p w:rsidR="00D404F9" w:rsidRPr="00D937B0" w:rsidRDefault="00D404F9" w:rsidP="00D937B0">
      <w:pPr>
        <w:pStyle w:val="1"/>
        <w:rPr>
          <w:i/>
          <w:sz w:val="26"/>
          <w:szCs w:val="26"/>
          <w:lang w:val="ru-RU"/>
        </w:rPr>
      </w:pPr>
      <w:bookmarkStart w:id="2" w:name="_Toc383442167"/>
      <w:r w:rsidRPr="00D937B0">
        <w:rPr>
          <w:i/>
          <w:sz w:val="26"/>
          <w:szCs w:val="26"/>
          <w:lang w:val="ru-RU"/>
        </w:rPr>
        <w:t xml:space="preserve">Сравнительный анализ данных о расходах бюджетов субъектов РФ на </w:t>
      </w:r>
      <w:r w:rsidR="00456979">
        <w:rPr>
          <w:i/>
          <w:sz w:val="26"/>
          <w:szCs w:val="26"/>
          <w:lang w:val="ru-RU"/>
        </w:rPr>
        <w:t>социальное обслуживание населения</w:t>
      </w:r>
      <w:bookmarkEnd w:id="2"/>
      <w:r w:rsidRPr="00D937B0">
        <w:rPr>
          <w:i/>
          <w:sz w:val="26"/>
          <w:szCs w:val="26"/>
          <w:lang w:val="ru-RU"/>
        </w:rPr>
        <w:t xml:space="preserve"> </w:t>
      </w:r>
    </w:p>
    <w:p w:rsidR="00764413" w:rsidRPr="00D937B0" w:rsidRDefault="00764413" w:rsidP="00D608B3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D937B0">
        <w:rPr>
          <w:rFonts w:ascii="Times New Roman" w:hAnsi="Times New Roman"/>
          <w:sz w:val="26"/>
          <w:szCs w:val="26"/>
        </w:rPr>
        <w:t xml:space="preserve">Результаты представленного в настоящем </w:t>
      </w:r>
      <w:r w:rsidR="00497988" w:rsidRPr="00D937B0">
        <w:rPr>
          <w:rFonts w:ascii="Times New Roman" w:hAnsi="Times New Roman"/>
          <w:sz w:val="26"/>
          <w:szCs w:val="26"/>
        </w:rPr>
        <w:t>разделе</w:t>
      </w:r>
      <w:r w:rsidRPr="00D937B0">
        <w:rPr>
          <w:rFonts w:ascii="Times New Roman" w:hAnsi="Times New Roman"/>
          <w:sz w:val="26"/>
          <w:szCs w:val="26"/>
        </w:rPr>
        <w:t xml:space="preserve"> анализа получены с использованием базы данных, сформированной в рамках</w:t>
      </w:r>
      <w:r w:rsidR="002F581F">
        <w:rPr>
          <w:rFonts w:ascii="Times New Roman" w:hAnsi="Times New Roman"/>
          <w:sz w:val="26"/>
          <w:szCs w:val="26"/>
        </w:rPr>
        <w:t xml:space="preserve"> первого этапа работ по </w:t>
      </w:r>
      <w:r w:rsidR="002F581F" w:rsidRPr="002F581F">
        <w:rPr>
          <w:rFonts w:ascii="Times New Roman" w:hAnsi="Times New Roman"/>
          <w:sz w:val="26"/>
          <w:szCs w:val="26"/>
        </w:rPr>
        <w:t>проекту</w:t>
      </w:r>
      <w:r w:rsidRPr="002F581F">
        <w:rPr>
          <w:rFonts w:ascii="Times New Roman" w:hAnsi="Times New Roman"/>
          <w:sz w:val="26"/>
          <w:szCs w:val="26"/>
        </w:rPr>
        <w:t>.</w:t>
      </w:r>
    </w:p>
    <w:p w:rsidR="00D54254" w:rsidRDefault="00FD3171" w:rsidP="00D937B0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D937B0">
        <w:rPr>
          <w:rFonts w:ascii="Times New Roman" w:hAnsi="Times New Roman"/>
          <w:sz w:val="26"/>
          <w:szCs w:val="26"/>
        </w:rPr>
        <w:t xml:space="preserve">Доля расходов на </w:t>
      </w:r>
      <w:r w:rsidR="00D608B3">
        <w:rPr>
          <w:rFonts w:ascii="Times New Roman" w:hAnsi="Times New Roman"/>
          <w:sz w:val="26"/>
          <w:szCs w:val="26"/>
        </w:rPr>
        <w:t>социальную политику, включая</w:t>
      </w:r>
      <w:r w:rsidR="003F48C6">
        <w:rPr>
          <w:rFonts w:ascii="Times New Roman" w:hAnsi="Times New Roman"/>
          <w:sz w:val="26"/>
          <w:szCs w:val="26"/>
        </w:rPr>
        <w:t xml:space="preserve"> </w:t>
      </w:r>
      <w:r w:rsidR="00D608B3">
        <w:rPr>
          <w:rFonts w:ascii="Times New Roman" w:hAnsi="Times New Roman"/>
          <w:sz w:val="26"/>
          <w:szCs w:val="26"/>
        </w:rPr>
        <w:t>пенсионное и социальное обеспечение, охрану материнства и детства, социальное обслуживание</w:t>
      </w:r>
      <w:r w:rsidRPr="00D937B0">
        <w:rPr>
          <w:rFonts w:ascii="Times New Roman" w:hAnsi="Times New Roman"/>
          <w:sz w:val="26"/>
          <w:szCs w:val="26"/>
        </w:rPr>
        <w:t xml:space="preserve"> </w:t>
      </w:r>
      <w:r w:rsidR="00667854">
        <w:rPr>
          <w:rFonts w:ascii="Times New Roman" w:hAnsi="Times New Roman"/>
          <w:sz w:val="26"/>
          <w:szCs w:val="26"/>
        </w:rPr>
        <w:t>и накладные расходы (</w:t>
      </w:r>
      <w:r w:rsidR="00D608B3">
        <w:rPr>
          <w:rFonts w:ascii="Times New Roman" w:hAnsi="Times New Roman"/>
          <w:sz w:val="26"/>
          <w:szCs w:val="26"/>
        </w:rPr>
        <w:t xml:space="preserve">НИОКР и управление) </w:t>
      </w:r>
      <w:r w:rsidRPr="00D937B0">
        <w:rPr>
          <w:rFonts w:ascii="Times New Roman" w:hAnsi="Times New Roman"/>
          <w:sz w:val="26"/>
          <w:szCs w:val="26"/>
        </w:rPr>
        <w:t>в расходах консолидированных региональных бюджетов (2012 г.) состав</w:t>
      </w:r>
      <w:r w:rsidR="00A60D08">
        <w:rPr>
          <w:rFonts w:ascii="Times New Roman" w:hAnsi="Times New Roman"/>
          <w:sz w:val="26"/>
          <w:szCs w:val="26"/>
        </w:rPr>
        <w:t xml:space="preserve">ила </w:t>
      </w:r>
      <w:r w:rsidRPr="00D937B0">
        <w:rPr>
          <w:rFonts w:ascii="Times New Roman" w:hAnsi="Times New Roman"/>
          <w:sz w:val="26"/>
          <w:szCs w:val="26"/>
        </w:rPr>
        <w:t xml:space="preserve">в </w:t>
      </w:r>
      <w:r w:rsidR="00497988" w:rsidRPr="00D937B0">
        <w:rPr>
          <w:rFonts w:ascii="Times New Roman" w:hAnsi="Times New Roman"/>
          <w:sz w:val="26"/>
          <w:szCs w:val="26"/>
        </w:rPr>
        <w:t>среднем</w:t>
      </w:r>
      <w:r w:rsidRPr="00D937B0">
        <w:rPr>
          <w:rFonts w:ascii="Times New Roman" w:hAnsi="Times New Roman"/>
          <w:sz w:val="26"/>
          <w:szCs w:val="26"/>
        </w:rPr>
        <w:t xml:space="preserve"> по России 1</w:t>
      </w:r>
      <w:r w:rsidR="003F48C6">
        <w:rPr>
          <w:rFonts w:ascii="Times New Roman" w:hAnsi="Times New Roman"/>
          <w:sz w:val="26"/>
          <w:szCs w:val="26"/>
        </w:rPr>
        <w:t xml:space="preserve">5%, при этом доля расходов </w:t>
      </w:r>
      <w:r w:rsidR="003F48C6" w:rsidRPr="00D937B0">
        <w:rPr>
          <w:rFonts w:ascii="Times New Roman" w:hAnsi="Times New Roman"/>
          <w:sz w:val="26"/>
          <w:szCs w:val="26"/>
        </w:rPr>
        <w:t>расходах консолидированных региональных бюджетов</w:t>
      </w:r>
      <w:r w:rsidR="00D54254">
        <w:rPr>
          <w:rFonts w:ascii="Times New Roman" w:hAnsi="Times New Roman"/>
          <w:sz w:val="26"/>
          <w:szCs w:val="26"/>
        </w:rPr>
        <w:t xml:space="preserve"> на со</w:t>
      </w:r>
      <w:r w:rsidR="003F48C6">
        <w:rPr>
          <w:rFonts w:ascii="Times New Roman" w:hAnsi="Times New Roman"/>
          <w:sz w:val="26"/>
          <w:szCs w:val="26"/>
        </w:rPr>
        <w:t>циальное обслуживание суд</w:t>
      </w:r>
      <w:r w:rsidR="005E351D">
        <w:rPr>
          <w:rFonts w:ascii="Times New Roman" w:hAnsi="Times New Roman"/>
          <w:sz w:val="26"/>
          <w:szCs w:val="26"/>
        </w:rPr>
        <w:t>я</w:t>
      </w:r>
      <w:r w:rsidR="003F48C6">
        <w:rPr>
          <w:rFonts w:ascii="Times New Roman" w:hAnsi="Times New Roman"/>
          <w:sz w:val="26"/>
          <w:szCs w:val="26"/>
        </w:rPr>
        <w:t xml:space="preserve"> по официальным отчетным данным составляет лишь 3,8%. Данная цифра, однако, является зав</w:t>
      </w:r>
      <w:r w:rsidR="00667854">
        <w:rPr>
          <w:rFonts w:ascii="Times New Roman" w:hAnsi="Times New Roman"/>
          <w:sz w:val="26"/>
          <w:szCs w:val="26"/>
        </w:rPr>
        <w:t>ы</w:t>
      </w:r>
      <w:r w:rsidR="003F48C6">
        <w:rPr>
          <w:rFonts w:ascii="Times New Roman" w:hAnsi="Times New Roman"/>
          <w:sz w:val="26"/>
          <w:szCs w:val="26"/>
        </w:rPr>
        <w:t xml:space="preserve">шенной, поскольку </w:t>
      </w:r>
      <w:r w:rsidR="008F67B1">
        <w:rPr>
          <w:rFonts w:ascii="Times New Roman" w:hAnsi="Times New Roman"/>
          <w:sz w:val="26"/>
          <w:szCs w:val="26"/>
        </w:rPr>
        <w:t xml:space="preserve">многие регионы  (40 из 83) включают пособия по социальной помощи населению (именно населению, а </w:t>
      </w:r>
      <w:r w:rsidR="005E351D">
        <w:rPr>
          <w:rFonts w:ascii="Times New Roman" w:hAnsi="Times New Roman"/>
          <w:sz w:val="26"/>
          <w:szCs w:val="26"/>
        </w:rPr>
        <w:t xml:space="preserve">не </w:t>
      </w:r>
      <w:r w:rsidR="008F67B1">
        <w:rPr>
          <w:rFonts w:ascii="Times New Roman" w:hAnsi="Times New Roman"/>
          <w:sz w:val="26"/>
          <w:szCs w:val="26"/>
        </w:rPr>
        <w:t xml:space="preserve">сотрудникам учреждений социальной защиты, оказывающих социальные услуги населению) в состав расходов на социальное обслуживание населения. </w:t>
      </w:r>
      <w:r w:rsidR="00D54254">
        <w:rPr>
          <w:rFonts w:ascii="Times New Roman" w:hAnsi="Times New Roman"/>
          <w:sz w:val="26"/>
          <w:szCs w:val="26"/>
        </w:rPr>
        <w:t xml:space="preserve">Если исключить эту </w:t>
      </w:r>
      <w:r w:rsidR="005C6D49">
        <w:rPr>
          <w:rFonts w:ascii="Times New Roman" w:hAnsi="Times New Roman"/>
          <w:sz w:val="26"/>
          <w:szCs w:val="26"/>
        </w:rPr>
        <w:t>с</w:t>
      </w:r>
      <w:r w:rsidR="00D54254">
        <w:rPr>
          <w:rFonts w:ascii="Times New Roman" w:hAnsi="Times New Roman"/>
          <w:sz w:val="26"/>
          <w:szCs w:val="26"/>
        </w:rPr>
        <w:t xml:space="preserve">татью </w:t>
      </w:r>
      <w:r w:rsidR="005C6D49">
        <w:rPr>
          <w:rFonts w:ascii="Times New Roman" w:hAnsi="Times New Roman"/>
          <w:sz w:val="26"/>
          <w:szCs w:val="26"/>
        </w:rPr>
        <w:t>из расходов на о</w:t>
      </w:r>
      <w:r w:rsidR="00D54254">
        <w:rPr>
          <w:rFonts w:ascii="Times New Roman" w:hAnsi="Times New Roman"/>
          <w:sz w:val="26"/>
          <w:szCs w:val="26"/>
        </w:rPr>
        <w:t>казание социальных услуг (социальное о</w:t>
      </w:r>
      <w:r w:rsidR="005C6D49">
        <w:rPr>
          <w:rFonts w:ascii="Times New Roman" w:hAnsi="Times New Roman"/>
          <w:sz w:val="26"/>
          <w:szCs w:val="26"/>
        </w:rPr>
        <w:t>б</w:t>
      </w:r>
      <w:r w:rsidR="00D54254">
        <w:rPr>
          <w:rFonts w:ascii="Times New Roman" w:hAnsi="Times New Roman"/>
          <w:sz w:val="26"/>
          <w:szCs w:val="26"/>
        </w:rPr>
        <w:t>служивание</w:t>
      </w:r>
      <w:r w:rsidR="005C6D49">
        <w:rPr>
          <w:rFonts w:ascii="Times New Roman" w:hAnsi="Times New Roman"/>
          <w:sz w:val="26"/>
          <w:szCs w:val="26"/>
        </w:rPr>
        <w:t xml:space="preserve"> </w:t>
      </w:r>
      <w:r w:rsidR="00D54254">
        <w:rPr>
          <w:rFonts w:ascii="Times New Roman" w:hAnsi="Times New Roman"/>
          <w:sz w:val="26"/>
          <w:szCs w:val="26"/>
        </w:rPr>
        <w:t>населения), «вес» расходов на социальное обслуживание в общем объеме расходов консолидированных бюджетов регионов уменьшится до 2,4%.</w:t>
      </w:r>
    </w:p>
    <w:p w:rsidR="00667854" w:rsidRPr="00D937B0" w:rsidRDefault="00497988" w:rsidP="00D937B0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D937B0">
        <w:rPr>
          <w:rFonts w:ascii="Times New Roman" w:hAnsi="Times New Roman"/>
          <w:sz w:val="26"/>
          <w:szCs w:val="26"/>
        </w:rPr>
        <w:t>Медианное</w:t>
      </w:r>
      <w:r w:rsidR="00FD3171" w:rsidRPr="00D937B0">
        <w:rPr>
          <w:rFonts w:ascii="Times New Roman" w:hAnsi="Times New Roman"/>
          <w:sz w:val="26"/>
          <w:szCs w:val="26"/>
        </w:rPr>
        <w:t xml:space="preserve"> значение этого показателя </w:t>
      </w:r>
      <w:r w:rsidR="005C6D49">
        <w:rPr>
          <w:rFonts w:ascii="Times New Roman" w:hAnsi="Times New Roman"/>
          <w:sz w:val="26"/>
          <w:szCs w:val="26"/>
        </w:rPr>
        <w:t xml:space="preserve">(доля расходов на социальное обслуживание в общем объеме </w:t>
      </w:r>
      <w:r w:rsidR="009B315A">
        <w:rPr>
          <w:rFonts w:ascii="Times New Roman" w:hAnsi="Times New Roman"/>
          <w:sz w:val="26"/>
          <w:szCs w:val="26"/>
        </w:rPr>
        <w:t>расходов</w:t>
      </w:r>
      <w:r w:rsidR="005C6D49">
        <w:rPr>
          <w:rFonts w:ascii="Times New Roman" w:hAnsi="Times New Roman"/>
          <w:sz w:val="26"/>
          <w:szCs w:val="26"/>
        </w:rPr>
        <w:t xml:space="preserve"> консолидированного бюджета региона) </w:t>
      </w:r>
      <w:r w:rsidR="00667854">
        <w:rPr>
          <w:rFonts w:ascii="Times New Roman" w:hAnsi="Times New Roman"/>
          <w:sz w:val="26"/>
          <w:szCs w:val="26"/>
        </w:rPr>
        <w:t xml:space="preserve">составляет 2,2% (Тверская область). </w:t>
      </w:r>
      <w:r w:rsidR="008F67B1">
        <w:rPr>
          <w:rFonts w:ascii="Times New Roman" w:hAnsi="Times New Roman"/>
          <w:sz w:val="26"/>
          <w:szCs w:val="26"/>
        </w:rPr>
        <w:t>В</w:t>
      </w:r>
      <w:r w:rsidR="008F67B1" w:rsidRPr="00D937B0">
        <w:rPr>
          <w:rFonts w:ascii="Times New Roman" w:hAnsi="Times New Roman"/>
          <w:sz w:val="26"/>
          <w:szCs w:val="26"/>
        </w:rPr>
        <w:t xml:space="preserve"> общих расходах консолидированного бюджета  Ненецко</w:t>
      </w:r>
      <w:r w:rsidR="008F67B1">
        <w:rPr>
          <w:rFonts w:ascii="Times New Roman" w:hAnsi="Times New Roman"/>
          <w:sz w:val="26"/>
          <w:szCs w:val="26"/>
        </w:rPr>
        <w:t>го округа эта доля составляет 0%, поскольку Ненецкий округ не располагает собственными учреждениями социального обслуживания и не финансирует расходы на эти цели из своего бюджета, а население Ненецкого округа получает социальные услуги в учреждениях Архангельской области</w:t>
      </w:r>
      <w:r w:rsidR="008F67B1" w:rsidRPr="00D937B0">
        <w:rPr>
          <w:rFonts w:ascii="Times New Roman" w:hAnsi="Times New Roman"/>
          <w:sz w:val="26"/>
          <w:szCs w:val="26"/>
        </w:rPr>
        <w:t xml:space="preserve">. </w:t>
      </w:r>
    </w:p>
    <w:p w:rsidR="00872164" w:rsidRDefault="00FD3171" w:rsidP="00D937B0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D937B0">
        <w:rPr>
          <w:rFonts w:ascii="Times New Roman" w:hAnsi="Times New Roman"/>
          <w:sz w:val="26"/>
          <w:szCs w:val="26"/>
        </w:rPr>
        <w:t xml:space="preserve">Среди </w:t>
      </w:r>
      <w:r w:rsidR="00667854">
        <w:rPr>
          <w:rFonts w:ascii="Times New Roman" w:hAnsi="Times New Roman"/>
          <w:sz w:val="26"/>
          <w:szCs w:val="26"/>
        </w:rPr>
        <w:t xml:space="preserve"> 5 регионов, в бюджете которых доля расходов на социальное обслуживание населения, </w:t>
      </w:r>
      <w:r w:rsidR="008F67B1">
        <w:rPr>
          <w:rFonts w:ascii="Times New Roman" w:hAnsi="Times New Roman"/>
          <w:sz w:val="26"/>
          <w:szCs w:val="26"/>
        </w:rPr>
        <w:t>особенно</w:t>
      </w:r>
      <w:r w:rsidR="00667854">
        <w:rPr>
          <w:rFonts w:ascii="Times New Roman" w:hAnsi="Times New Roman"/>
          <w:sz w:val="26"/>
          <w:szCs w:val="26"/>
        </w:rPr>
        <w:t xml:space="preserve"> </w:t>
      </w:r>
      <w:r w:rsidR="008F67B1">
        <w:rPr>
          <w:rFonts w:ascii="Times New Roman" w:hAnsi="Times New Roman"/>
          <w:sz w:val="26"/>
          <w:szCs w:val="26"/>
        </w:rPr>
        <w:t>низка,</w:t>
      </w:r>
      <w:r w:rsidR="00667854">
        <w:rPr>
          <w:rFonts w:ascii="Times New Roman" w:hAnsi="Times New Roman"/>
          <w:sz w:val="26"/>
          <w:szCs w:val="26"/>
        </w:rPr>
        <w:t xml:space="preserve"> присутствуют как </w:t>
      </w:r>
      <w:r w:rsidR="008F67B1">
        <w:rPr>
          <w:rFonts w:ascii="Times New Roman" w:hAnsi="Times New Roman"/>
          <w:sz w:val="26"/>
          <w:szCs w:val="26"/>
        </w:rPr>
        <w:t>регионы</w:t>
      </w:r>
      <w:r w:rsidR="00667854">
        <w:rPr>
          <w:rFonts w:ascii="Times New Roman" w:hAnsi="Times New Roman"/>
          <w:sz w:val="26"/>
          <w:szCs w:val="26"/>
        </w:rPr>
        <w:t xml:space="preserve"> с низ</w:t>
      </w:r>
      <w:r w:rsidR="008F67B1">
        <w:rPr>
          <w:rFonts w:ascii="Times New Roman" w:hAnsi="Times New Roman"/>
          <w:sz w:val="26"/>
          <w:szCs w:val="26"/>
        </w:rPr>
        <w:t>кой бюджетной обеспеченностью (</w:t>
      </w:r>
      <w:r w:rsidR="00667854">
        <w:rPr>
          <w:rFonts w:ascii="Times New Roman" w:hAnsi="Times New Roman"/>
          <w:sz w:val="26"/>
          <w:szCs w:val="26"/>
        </w:rPr>
        <w:t xml:space="preserve">Республика </w:t>
      </w:r>
      <w:r w:rsidR="008F67B1">
        <w:rPr>
          <w:rFonts w:ascii="Times New Roman" w:hAnsi="Times New Roman"/>
          <w:sz w:val="26"/>
          <w:szCs w:val="26"/>
        </w:rPr>
        <w:t>Ингушетия</w:t>
      </w:r>
      <w:r w:rsidR="00872164">
        <w:rPr>
          <w:rFonts w:ascii="Times New Roman" w:hAnsi="Times New Roman"/>
          <w:sz w:val="26"/>
          <w:szCs w:val="26"/>
        </w:rPr>
        <w:t xml:space="preserve"> – 0,4%</w:t>
      </w:r>
      <w:r w:rsidR="00667854">
        <w:rPr>
          <w:rFonts w:ascii="Times New Roman" w:hAnsi="Times New Roman"/>
          <w:sz w:val="26"/>
          <w:szCs w:val="26"/>
        </w:rPr>
        <w:t>, Карачаево-Черкесская Республика</w:t>
      </w:r>
      <w:r w:rsidR="00872164">
        <w:rPr>
          <w:rFonts w:ascii="Times New Roman" w:hAnsi="Times New Roman"/>
          <w:sz w:val="26"/>
          <w:szCs w:val="26"/>
        </w:rPr>
        <w:t>- 0,8%</w:t>
      </w:r>
      <w:r w:rsidR="00667854">
        <w:rPr>
          <w:rFonts w:ascii="Times New Roman" w:hAnsi="Times New Roman"/>
          <w:sz w:val="26"/>
          <w:szCs w:val="26"/>
        </w:rPr>
        <w:t>), так и благополучные северные регионы (Ямало-Ненецкий автономный округ</w:t>
      </w:r>
      <w:r w:rsidR="00872164">
        <w:rPr>
          <w:rFonts w:ascii="Times New Roman" w:hAnsi="Times New Roman"/>
          <w:sz w:val="26"/>
          <w:szCs w:val="26"/>
        </w:rPr>
        <w:t xml:space="preserve"> – 0,5%</w:t>
      </w:r>
      <w:r w:rsidR="00667854">
        <w:rPr>
          <w:rFonts w:ascii="Times New Roman" w:hAnsi="Times New Roman"/>
          <w:sz w:val="26"/>
          <w:szCs w:val="26"/>
        </w:rPr>
        <w:t>,</w:t>
      </w:r>
      <w:r w:rsidR="00872164">
        <w:rPr>
          <w:rFonts w:ascii="Times New Roman" w:hAnsi="Times New Roman"/>
          <w:sz w:val="26"/>
          <w:szCs w:val="26"/>
        </w:rPr>
        <w:t xml:space="preserve"> Чукотский автономный округ – 1%. Тюменская область  (без автономных округов) – 1,1%). Пятерка  регионов с самой высокой долей расходов на социальное обслуживание населения  включает Орловск</w:t>
      </w:r>
      <w:r w:rsidR="005B48C3">
        <w:rPr>
          <w:rFonts w:ascii="Times New Roman" w:hAnsi="Times New Roman"/>
          <w:sz w:val="26"/>
          <w:szCs w:val="26"/>
        </w:rPr>
        <w:t>у</w:t>
      </w:r>
      <w:r w:rsidR="00872164">
        <w:rPr>
          <w:rFonts w:ascii="Times New Roman" w:hAnsi="Times New Roman"/>
          <w:sz w:val="26"/>
          <w:szCs w:val="26"/>
        </w:rPr>
        <w:t>ю область (3,2%), город Москву (3,3%), Саратовскую область (3,5%), Астраханскую область (3,7%) и Омскую область (3,8%).</w:t>
      </w:r>
    </w:p>
    <w:p w:rsidR="00872164" w:rsidRDefault="00872164" w:rsidP="00D937B0">
      <w:pPr>
        <w:pStyle w:val="ac"/>
        <w:spacing w:after="0"/>
        <w:rPr>
          <w:rFonts w:ascii="Times New Roman" w:hAnsi="Times New Roman"/>
          <w:sz w:val="26"/>
          <w:szCs w:val="26"/>
        </w:rPr>
      </w:pPr>
    </w:p>
    <w:p w:rsidR="00872164" w:rsidRDefault="00872164" w:rsidP="00872164">
      <w:pPr>
        <w:pStyle w:val="ac"/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59C234B4" wp14:editId="0A6CC8C4">
            <wp:extent cx="5940425" cy="2996883"/>
            <wp:effectExtent l="0" t="0" r="22225" b="133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F581F" w:rsidRDefault="002F581F" w:rsidP="007921EB">
      <w:pPr>
        <w:pStyle w:val="ac"/>
        <w:spacing w:after="0"/>
        <w:rPr>
          <w:rFonts w:ascii="Times New Roman" w:hAnsi="Times New Roman"/>
          <w:sz w:val="26"/>
          <w:szCs w:val="26"/>
        </w:rPr>
      </w:pPr>
    </w:p>
    <w:p w:rsidR="00872164" w:rsidRDefault="00096D78" w:rsidP="007921EB">
      <w:pPr>
        <w:pStyle w:val="ac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Существует ли какая либо связь между долей расходов </w:t>
      </w:r>
      <w:r w:rsidR="008F67B1">
        <w:rPr>
          <w:rFonts w:ascii="Times New Roman" w:hAnsi="Times New Roman"/>
          <w:sz w:val="26"/>
          <w:szCs w:val="26"/>
        </w:rPr>
        <w:t>консолидированного</w:t>
      </w:r>
      <w:r>
        <w:rPr>
          <w:rFonts w:ascii="Times New Roman" w:hAnsi="Times New Roman"/>
          <w:sz w:val="26"/>
          <w:szCs w:val="26"/>
        </w:rPr>
        <w:t xml:space="preserve"> бюджета региона и возрастным составом населения или  подушевой бюджетной обеспеченностью?  Возможно, некоторые р</w:t>
      </w:r>
      <w:r w:rsidR="00A1061C">
        <w:rPr>
          <w:rFonts w:ascii="Times New Roman" w:hAnsi="Times New Roman"/>
          <w:sz w:val="26"/>
          <w:szCs w:val="26"/>
        </w:rPr>
        <w:t>егионы</w:t>
      </w:r>
      <w:r>
        <w:rPr>
          <w:rFonts w:ascii="Times New Roman" w:hAnsi="Times New Roman"/>
          <w:sz w:val="26"/>
          <w:szCs w:val="26"/>
        </w:rPr>
        <w:t xml:space="preserve"> просто вынуждены тратить на социальное обслуживание населения </w:t>
      </w:r>
      <w:r w:rsidR="008F67B1">
        <w:rPr>
          <w:rFonts w:ascii="Times New Roman" w:hAnsi="Times New Roman"/>
          <w:sz w:val="26"/>
          <w:szCs w:val="26"/>
        </w:rPr>
        <w:t>большую</w:t>
      </w:r>
      <w:r>
        <w:rPr>
          <w:rFonts w:ascii="Times New Roman" w:hAnsi="Times New Roman"/>
          <w:sz w:val="26"/>
          <w:szCs w:val="26"/>
        </w:rPr>
        <w:t xml:space="preserve"> долю своих доходов, поскольку в них высока доля населения старше трудоспособного возраста или общие доходы бюджета настолько низки, что на социальное обслуживание населения приходится тратить значительную дол расходов. Проверка этих гипоте</w:t>
      </w:r>
      <w:r w:rsidR="00333428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 дала следующие результаты.</w:t>
      </w:r>
    </w:p>
    <w:p w:rsidR="00096D78" w:rsidRDefault="007D07D7" w:rsidP="007921EB">
      <w:pPr>
        <w:pStyle w:val="ac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расходов на социальное обслуживание зависит от демографической структуры населения. Оц</w:t>
      </w:r>
      <w:r w:rsidR="00AB6130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</w:t>
      </w:r>
      <w:r w:rsidR="00AB6130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а по данным 84 регионов линейной регрессии без свободного члена, где в качестве независимой переменной (</w:t>
      </w:r>
      <w:r w:rsidRPr="006335F8"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 xml:space="preserve">) выступала доля расходов на социальное обслуживание населения, а в качестве независимой переменной (х) – доля </w:t>
      </w:r>
      <w:r w:rsidR="00AB6130">
        <w:rPr>
          <w:rFonts w:ascii="Times New Roman" w:hAnsi="Times New Roman"/>
          <w:sz w:val="26"/>
          <w:szCs w:val="26"/>
        </w:rPr>
        <w:t>лиц стар</w:t>
      </w:r>
      <w:r>
        <w:rPr>
          <w:rFonts w:ascii="Times New Roman" w:hAnsi="Times New Roman"/>
          <w:sz w:val="26"/>
          <w:szCs w:val="26"/>
        </w:rPr>
        <w:t>ше трудоспособного возраста в общей численности населения региона</w:t>
      </w:r>
      <w:r w:rsidR="00AB613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показала наличие достаточно тесной зависимости </w:t>
      </w:r>
      <w:r w:rsidR="00AB6130">
        <w:rPr>
          <w:rFonts w:ascii="Times New Roman" w:hAnsi="Times New Roman"/>
          <w:sz w:val="26"/>
          <w:szCs w:val="26"/>
        </w:rPr>
        <w:t xml:space="preserve">между этими переменными </w:t>
      </w:r>
      <w:r w:rsidRPr="007D07D7">
        <w:rPr>
          <w:rFonts w:ascii="Times New Roman" w:hAnsi="Times New Roman"/>
          <w:sz w:val="26"/>
          <w:szCs w:val="26"/>
        </w:rPr>
        <w:t xml:space="preserve">( </w:t>
      </w:r>
      <w:r w:rsidRPr="006335F8">
        <w:rPr>
          <w:rFonts w:ascii="Times New Roman" w:hAnsi="Times New Roman"/>
          <w:sz w:val="26"/>
          <w:szCs w:val="26"/>
        </w:rPr>
        <w:t>R2</w:t>
      </w:r>
      <w:r>
        <w:rPr>
          <w:rFonts w:ascii="Times New Roman" w:hAnsi="Times New Roman"/>
          <w:sz w:val="26"/>
          <w:szCs w:val="26"/>
        </w:rPr>
        <w:t xml:space="preserve"> = 0,92)</w:t>
      </w:r>
      <w:r w:rsidR="001E384E">
        <w:rPr>
          <w:rFonts w:ascii="Times New Roman" w:hAnsi="Times New Roman"/>
          <w:sz w:val="26"/>
          <w:szCs w:val="26"/>
        </w:rPr>
        <w:t xml:space="preserve">, </w:t>
      </w:r>
      <w:r w:rsidR="00AB6130">
        <w:rPr>
          <w:rFonts w:ascii="Times New Roman" w:hAnsi="Times New Roman"/>
          <w:sz w:val="26"/>
          <w:szCs w:val="26"/>
        </w:rPr>
        <w:t xml:space="preserve">при этом </w:t>
      </w:r>
      <w:r w:rsidR="001E384E">
        <w:rPr>
          <w:rFonts w:ascii="Times New Roman" w:hAnsi="Times New Roman"/>
          <w:sz w:val="26"/>
          <w:szCs w:val="26"/>
        </w:rPr>
        <w:t>коэффицие</w:t>
      </w:r>
      <w:r w:rsidR="00A1061C">
        <w:rPr>
          <w:rFonts w:ascii="Times New Roman" w:hAnsi="Times New Roman"/>
          <w:sz w:val="26"/>
          <w:szCs w:val="26"/>
        </w:rPr>
        <w:t>нт при независимой переменной</w:t>
      </w:r>
      <w:r w:rsidR="00AB6130">
        <w:rPr>
          <w:rFonts w:ascii="Times New Roman" w:hAnsi="Times New Roman"/>
          <w:sz w:val="26"/>
          <w:szCs w:val="26"/>
        </w:rPr>
        <w:t xml:space="preserve"> (0,001)</w:t>
      </w:r>
      <w:r w:rsidR="00A1061C">
        <w:rPr>
          <w:rFonts w:ascii="Times New Roman" w:hAnsi="Times New Roman"/>
          <w:sz w:val="26"/>
          <w:szCs w:val="26"/>
        </w:rPr>
        <w:t xml:space="preserve"> им</w:t>
      </w:r>
      <w:r w:rsidR="001E384E">
        <w:rPr>
          <w:rFonts w:ascii="Times New Roman" w:hAnsi="Times New Roman"/>
          <w:sz w:val="26"/>
          <w:szCs w:val="26"/>
        </w:rPr>
        <w:t>еет ожидаемый знак и статистически значим (</w:t>
      </w:r>
      <w:r w:rsidR="00A1061C" w:rsidRPr="006335F8">
        <w:rPr>
          <w:rFonts w:ascii="Times New Roman" w:hAnsi="Times New Roman"/>
          <w:sz w:val="26"/>
          <w:szCs w:val="26"/>
        </w:rPr>
        <w:t>t</w:t>
      </w:r>
      <w:r w:rsidR="00A1061C" w:rsidRPr="00A1061C">
        <w:rPr>
          <w:rFonts w:ascii="Times New Roman" w:hAnsi="Times New Roman"/>
          <w:sz w:val="26"/>
          <w:szCs w:val="26"/>
        </w:rPr>
        <w:t>-</w:t>
      </w:r>
      <w:r w:rsidR="00A1061C">
        <w:rPr>
          <w:rFonts w:ascii="Times New Roman" w:hAnsi="Times New Roman"/>
          <w:sz w:val="26"/>
          <w:szCs w:val="26"/>
        </w:rPr>
        <w:t>статистика = 31,1)</w:t>
      </w:r>
      <w:r w:rsidR="00AB6130">
        <w:rPr>
          <w:rFonts w:ascii="Times New Roman" w:hAnsi="Times New Roman"/>
          <w:sz w:val="26"/>
          <w:szCs w:val="26"/>
        </w:rPr>
        <w:t xml:space="preserve">. </w:t>
      </w:r>
      <w:r w:rsidR="005B48C3">
        <w:rPr>
          <w:rFonts w:ascii="Times New Roman" w:hAnsi="Times New Roman"/>
          <w:sz w:val="26"/>
          <w:szCs w:val="26"/>
        </w:rPr>
        <w:t>Гипотеза о наличии положительной связи между богатс</w:t>
      </w:r>
      <w:r w:rsidR="007D0299">
        <w:rPr>
          <w:rFonts w:ascii="Times New Roman" w:hAnsi="Times New Roman"/>
          <w:sz w:val="26"/>
          <w:szCs w:val="26"/>
        </w:rPr>
        <w:t>т</w:t>
      </w:r>
      <w:r w:rsidR="005B48C3">
        <w:rPr>
          <w:rFonts w:ascii="Times New Roman" w:hAnsi="Times New Roman"/>
          <w:sz w:val="26"/>
          <w:szCs w:val="26"/>
        </w:rPr>
        <w:t xml:space="preserve">вом региона (подушевым </w:t>
      </w:r>
      <w:r w:rsidR="008F67B1">
        <w:rPr>
          <w:rFonts w:ascii="Times New Roman" w:hAnsi="Times New Roman"/>
          <w:sz w:val="26"/>
          <w:szCs w:val="26"/>
        </w:rPr>
        <w:t>уровнем</w:t>
      </w:r>
      <w:r w:rsidR="005B48C3">
        <w:rPr>
          <w:rFonts w:ascii="Times New Roman" w:hAnsi="Times New Roman"/>
          <w:sz w:val="26"/>
          <w:szCs w:val="26"/>
        </w:rPr>
        <w:t xml:space="preserve"> валового регионального продукта</w:t>
      </w:r>
      <w:r w:rsidR="008F67B1">
        <w:rPr>
          <w:rFonts w:ascii="Times New Roman" w:hAnsi="Times New Roman"/>
          <w:sz w:val="26"/>
          <w:szCs w:val="26"/>
        </w:rPr>
        <w:t>) и</w:t>
      </w:r>
      <w:r w:rsidR="005B48C3">
        <w:rPr>
          <w:rFonts w:ascii="Times New Roman" w:hAnsi="Times New Roman"/>
          <w:sz w:val="26"/>
          <w:szCs w:val="26"/>
        </w:rPr>
        <w:t xml:space="preserve"> долей расходов на социальное </w:t>
      </w:r>
      <w:r w:rsidR="008F67B1">
        <w:rPr>
          <w:rFonts w:ascii="Times New Roman" w:hAnsi="Times New Roman"/>
          <w:sz w:val="26"/>
          <w:szCs w:val="26"/>
        </w:rPr>
        <w:t>обслуживание</w:t>
      </w:r>
      <w:r w:rsidR="005B48C3">
        <w:rPr>
          <w:rFonts w:ascii="Times New Roman" w:hAnsi="Times New Roman"/>
          <w:sz w:val="26"/>
          <w:szCs w:val="26"/>
        </w:rPr>
        <w:t xml:space="preserve"> населения не подтвердилась: хотя </w:t>
      </w:r>
      <w:r w:rsidR="008F67B1">
        <w:rPr>
          <w:rFonts w:ascii="Times New Roman" w:hAnsi="Times New Roman"/>
          <w:sz w:val="26"/>
          <w:szCs w:val="26"/>
        </w:rPr>
        <w:t>коэффициент</w:t>
      </w:r>
      <w:r w:rsidR="005B48C3">
        <w:rPr>
          <w:rFonts w:ascii="Times New Roman" w:hAnsi="Times New Roman"/>
          <w:sz w:val="26"/>
          <w:szCs w:val="26"/>
        </w:rPr>
        <w:t xml:space="preserve"> при независимой переменной </w:t>
      </w:r>
      <w:r w:rsidR="008F67B1">
        <w:rPr>
          <w:rFonts w:ascii="Times New Roman" w:hAnsi="Times New Roman"/>
          <w:sz w:val="26"/>
          <w:szCs w:val="26"/>
        </w:rPr>
        <w:t>имеет</w:t>
      </w:r>
      <w:r w:rsidR="005B48C3">
        <w:rPr>
          <w:rFonts w:ascii="Times New Roman" w:hAnsi="Times New Roman"/>
          <w:sz w:val="26"/>
          <w:szCs w:val="26"/>
        </w:rPr>
        <w:t xml:space="preserve"> ожидаемый знак, коэффициент детерминации </w:t>
      </w:r>
      <w:r w:rsidR="008F67B1">
        <w:rPr>
          <w:rFonts w:ascii="Times New Roman" w:hAnsi="Times New Roman"/>
          <w:sz w:val="26"/>
          <w:szCs w:val="26"/>
        </w:rPr>
        <w:t>регрессии</w:t>
      </w:r>
      <w:r w:rsidR="005B48C3">
        <w:rPr>
          <w:rFonts w:ascii="Times New Roman" w:hAnsi="Times New Roman"/>
          <w:sz w:val="26"/>
          <w:szCs w:val="26"/>
        </w:rPr>
        <w:t xml:space="preserve"> слишком низок (18%). Тот же вывод подтверждается и наблюдениями: среди регионов с самой низкой долей </w:t>
      </w:r>
      <w:r w:rsidR="008F67B1">
        <w:rPr>
          <w:rFonts w:ascii="Times New Roman" w:hAnsi="Times New Roman"/>
          <w:sz w:val="26"/>
          <w:szCs w:val="26"/>
        </w:rPr>
        <w:t>расходов</w:t>
      </w:r>
      <w:r w:rsidR="005B48C3">
        <w:rPr>
          <w:rFonts w:ascii="Times New Roman" w:hAnsi="Times New Roman"/>
          <w:sz w:val="26"/>
          <w:szCs w:val="26"/>
        </w:rPr>
        <w:t xml:space="preserve"> на социальное обслуживание находятся и республики Северного Кавказа (регионы с низким ВРП на душу населения), и богатейшие регионы, такие как Тюмен</w:t>
      </w:r>
      <w:r w:rsidR="007D0299">
        <w:rPr>
          <w:rFonts w:ascii="Times New Roman" w:hAnsi="Times New Roman"/>
          <w:sz w:val="26"/>
          <w:szCs w:val="26"/>
        </w:rPr>
        <w:t xml:space="preserve">ская область и ЯНАО, а среди регионов, с наивысшей долей расходов – сверхбогатая Москва и </w:t>
      </w:r>
      <w:r w:rsidR="008F67B1">
        <w:rPr>
          <w:rFonts w:ascii="Times New Roman" w:hAnsi="Times New Roman"/>
          <w:sz w:val="26"/>
          <w:szCs w:val="26"/>
        </w:rPr>
        <w:t>относительно</w:t>
      </w:r>
      <w:r w:rsidR="007D0299">
        <w:rPr>
          <w:rFonts w:ascii="Times New Roman" w:hAnsi="Times New Roman"/>
          <w:sz w:val="26"/>
          <w:szCs w:val="26"/>
        </w:rPr>
        <w:t xml:space="preserve"> бедные регионы, такие как Саратовская и Орловская </w:t>
      </w:r>
      <w:r w:rsidR="008F67B1">
        <w:rPr>
          <w:rFonts w:ascii="Times New Roman" w:hAnsi="Times New Roman"/>
          <w:sz w:val="26"/>
          <w:szCs w:val="26"/>
        </w:rPr>
        <w:t>области.</w:t>
      </w:r>
      <w:r w:rsidR="007D0299">
        <w:rPr>
          <w:rFonts w:ascii="Times New Roman" w:hAnsi="Times New Roman"/>
          <w:sz w:val="26"/>
          <w:szCs w:val="26"/>
        </w:rPr>
        <w:t xml:space="preserve"> </w:t>
      </w:r>
    </w:p>
    <w:p w:rsidR="00AB6130" w:rsidRPr="00A1061C" w:rsidRDefault="00AB6130" w:rsidP="007921EB">
      <w:pPr>
        <w:pStyle w:val="ac"/>
        <w:spacing w:after="0"/>
        <w:rPr>
          <w:rFonts w:ascii="Times New Roman" w:hAnsi="Times New Roman"/>
          <w:sz w:val="26"/>
          <w:szCs w:val="26"/>
        </w:rPr>
      </w:pPr>
    </w:p>
    <w:p w:rsidR="008A05B5" w:rsidRDefault="008A05B5" w:rsidP="007921EB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7921EB">
        <w:rPr>
          <w:rFonts w:ascii="Times New Roman" w:hAnsi="Times New Roman"/>
          <w:sz w:val="26"/>
          <w:szCs w:val="26"/>
        </w:rPr>
        <w:lastRenderedPageBreak/>
        <w:t xml:space="preserve">Разброс регионов по показателю «Объем </w:t>
      </w:r>
      <w:r w:rsidR="007E7E40">
        <w:rPr>
          <w:rFonts w:ascii="Times New Roman" w:hAnsi="Times New Roman"/>
          <w:sz w:val="26"/>
          <w:szCs w:val="26"/>
        </w:rPr>
        <w:t xml:space="preserve">подушевых расходов </w:t>
      </w:r>
      <w:r w:rsidRPr="007921EB">
        <w:rPr>
          <w:rFonts w:ascii="Times New Roman" w:hAnsi="Times New Roman"/>
          <w:sz w:val="26"/>
          <w:szCs w:val="26"/>
        </w:rPr>
        <w:t xml:space="preserve"> консолидированного бюджета региона </w:t>
      </w:r>
      <w:r w:rsidR="007E7E40">
        <w:rPr>
          <w:rFonts w:ascii="Times New Roman" w:hAnsi="Times New Roman"/>
          <w:sz w:val="26"/>
          <w:szCs w:val="26"/>
        </w:rPr>
        <w:t xml:space="preserve"> на социальное обслуживание населения</w:t>
      </w:r>
      <w:r w:rsidRPr="007921EB">
        <w:rPr>
          <w:rFonts w:ascii="Times New Roman" w:hAnsi="Times New Roman"/>
          <w:sz w:val="26"/>
          <w:szCs w:val="26"/>
        </w:rPr>
        <w:t>» представлен на следующем рисунке.</w:t>
      </w:r>
    </w:p>
    <w:p w:rsidR="007921EB" w:rsidRPr="007921EB" w:rsidRDefault="009735E4" w:rsidP="009735E4">
      <w:pPr>
        <w:pStyle w:val="ac"/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0A5EC5D9" wp14:editId="70D8C39C">
            <wp:extent cx="5943600" cy="3558540"/>
            <wp:effectExtent l="0" t="0" r="19050" b="2286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B2545" w:rsidRDefault="003B2545" w:rsidP="007D7F59">
      <w:pPr>
        <w:jc w:val="both"/>
        <w:rPr>
          <w:rFonts w:ascii="Times New Roman" w:hAnsi="Times New Roman" w:cs="Times New Roman"/>
          <w:sz w:val="24"/>
        </w:rPr>
      </w:pPr>
    </w:p>
    <w:p w:rsidR="009735E4" w:rsidRDefault="003B2545" w:rsidP="007921EB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7921EB">
        <w:rPr>
          <w:rFonts w:ascii="Times New Roman" w:hAnsi="Times New Roman"/>
          <w:sz w:val="26"/>
          <w:szCs w:val="26"/>
        </w:rPr>
        <w:t>Средний по</w:t>
      </w:r>
      <w:r w:rsidR="00741E14">
        <w:rPr>
          <w:rFonts w:ascii="Times New Roman" w:hAnsi="Times New Roman"/>
          <w:sz w:val="26"/>
          <w:szCs w:val="26"/>
        </w:rPr>
        <w:t xml:space="preserve"> </w:t>
      </w:r>
      <w:r w:rsidRPr="007921EB">
        <w:rPr>
          <w:rFonts w:ascii="Times New Roman" w:hAnsi="Times New Roman"/>
          <w:sz w:val="26"/>
          <w:szCs w:val="26"/>
        </w:rPr>
        <w:t xml:space="preserve">России объем расходов на </w:t>
      </w:r>
      <w:r w:rsidR="009735E4">
        <w:rPr>
          <w:rFonts w:ascii="Times New Roman" w:hAnsi="Times New Roman"/>
          <w:sz w:val="26"/>
          <w:szCs w:val="26"/>
        </w:rPr>
        <w:t xml:space="preserve">социальное обслуживание населения </w:t>
      </w:r>
      <w:r w:rsidRPr="007921EB">
        <w:rPr>
          <w:rFonts w:ascii="Times New Roman" w:hAnsi="Times New Roman"/>
          <w:sz w:val="26"/>
          <w:szCs w:val="26"/>
        </w:rPr>
        <w:t xml:space="preserve"> в расчете на одного жителя </w:t>
      </w:r>
      <w:r w:rsidR="009735E4">
        <w:rPr>
          <w:rFonts w:ascii="Times New Roman" w:hAnsi="Times New Roman"/>
          <w:sz w:val="26"/>
          <w:szCs w:val="26"/>
        </w:rPr>
        <w:t>составляет 1</w:t>
      </w:r>
      <w:r w:rsidRPr="007921EB">
        <w:rPr>
          <w:rFonts w:ascii="Times New Roman" w:hAnsi="Times New Roman"/>
          <w:sz w:val="26"/>
          <w:szCs w:val="26"/>
        </w:rPr>
        <w:t> </w:t>
      </w:r>
      <w:r w:rsidR="009735E4">
        <w:rPr>
          <w:rFonts w:ascii="Times New Roman" w:hAnsi="Times New Roman"/>
          <w:sz w:val="26"/>
          <w:szCs w:val="26"/>
        </w:rPr>
        <w:t>365</w:t>
      </w:r>
      <w:r w:rsidRPr="007921EB">
        <w:rPr>
          <w:rFonts w:ascii="Times New Roman" w:hAnsi="Times New Roman"/>
          <w:sz w:val="26"/>
          <w:szCs w:val="26"/>
        </w:rPr>
        <w:t xml:space="preserve"> руб. в год. Пять </w:t>
      </w:r>
      <w:r w:rsidR="009735E4">
        <w:rPr>
          <w:rFonts w:ascii="Times New Roman" w:hAnsi="Times New Roman"/>
          <w:sz w:val="26"/>
          <w:szCs w:val="26"/>
        </w:rPr>
        <w:t>регионов с самым низки</w:t>
      </w:r>
      <w:r w:rsidR="00EA4A37">
        <w:rPr>
          <w:rFonts w:ascii="Times New Roman" w:hAnsi="Times New Roman"/>
          <w:sz w:val="26"/>
          <w:szCs w:val="26"/>
        </w:rPr>
        <w:t>м</w:t>
      </w:r>
      <w:r w:rsidR="009735E4">
        <w:rPr>
          <w:rFonts w:ascii="Times New Roman" w:hAnsi="Times New Roman"/>
          <w:sz w:val="26"/>
          <w:szCs w:val="26"/>
        </w:rPr>
        <w:t xml:space="preserve"> уровнем подушевых расходов на социальное обслуживание населени</w:t>
      </w:r>
      <w:r w:rsidR="008F67B1">
        <w:rPr>
          <w:rFonts w:ascii="Times New Roman" w:hAnsi="Times New Roman"/>
          <w:sz w:val="26"/>
          <w:szCs w:val="26"/>
        </w:rPr>
        <w:t>я -</w:t>
      </w:r>
      <w:r w:rsidR="009735E4">
        <w:rPr>
          <w:rFonts w:ascii="Times New Roman" w:hAnsi="Times New Roman"/>
          <w:sz w:val="26"/>
          <w:szCs w:val="26"/>
        </w:rPr>
        <w:t xml:space="preserve"> это</w:t>
      </w:r>
      <w:r w:rsidR="00EA4A37">
        <w:rPr>
          <w:rFonts w:ascii="Times New Roman" w:hAnsi="Times New Roman"/>
          <w:sz w:val="26"/>
          <w:szCs w:val="26"/>
        </w:rPr>
        <w:t xml:space="preserve"> Рес</w:t>
      </w:r>
      <w:r w:rsidR="00001D96">
        <w:rPr>
          <w:rFonts w:ascii="Times New Roman" w:hAnsi="Times New Roman"/>
          <w:sz w:val="26"/>
          <w:szCs w:val="26"/>
        </w:rPr>
        <w:t>п</w:t>
      </w:r>
      <w:r w:rsidR="00EA4A37">
        <w:rPr>
          <w:rFonts w:ascii="Times New Roman" w:hAnsi="Times New Roman"/>
          <w:sz w:val="26"/>
          <w:szCs w:val="26"/>
        </w:rPr>
        <w:t>у</w:t>
      </w:r>
      <w:r w:rsidR="00001D96">
        <w:rPr>
          <w:rFonts w:ascii="Times New Roman" w:hAnsi="Times New Roman"/>
          <w:sz w:val="26"/>
          <w:szCs w:val="26"/>
        </w:rPr>
        <w:t xml:space="preserve">блика Ингушетия (192 руб./чел в год), Карачаево-Черкесская </w:t>
      </w:r>
      <w:r w:rsidR="008F67B1">
        <w:rPr>
          <w:rFonts w:ascii="Times New Roman" w:hAnsi="Times New Roman"/>
          <w:sz w:val="26"/>
          <w:szCs w:val="26"/>
        </w:rPr>
        <w:t>Республика</w:t>
      </w:r>
      <w:r w:rsidR="00001D96">
        <w:rPr>
          <w:rFonts w:ascii="Times New Roman" w:hAnsi="Times New Roman"/>
          <w:sz w:val="26"/>
          <w:szCs w:val="26"/>
        </w:rPr>
        <w:t xml:space="preserve"> (330 руб. в год), Республика Дагестан (423 руб.), Чувашская Республика (464 руб.) и </w:t>
      </w:r>
      <w:r w:rsidR="008F67B1">
        <w:rPr>
          <w:rFonts w:ascii="Times New Roman" w:hAnsi="Times New Roman"/>
          <w:sz w:val="26"/>
          <w:szCs w:val="26"/>
        </w:rPr>
        <w:t>Кабардино</w:t>
      </w:r>
      <w:r w:rsidR="00001D96">
        <w:rPr>
          <w:rFonts w:ascii="Times New Roman" w:hAnsi="Times New Roman"/>
          <w:sz w:val="26"/>
          <w:szCs w:val="26"/>
        </w:rPr>
        <w:t>-Балкарская Республика (510 руб.).</w:t>
      </w:r>
      <w:r w:rsidR="009735E4">
        <w:rPr>
          <w:rFonts w:ascii="Times New Roman" w:hAnsi="Times New Roman"/>
          <w:sz w:val="26"/>
          <w:szCs w:val="26"/>
        </w:rPr>
        <w:t xml:space="preserve"> </w:t>
      </w:r>
    </w:p>
    <w:p w:rsidR="00001D96" w:rsidRDefault="0063796E" w:rsidP="007921EB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7921EB">
        <w:rPr>
          <w:rFonts w:ascii="Times New Roman" w:hAnsi="Times New Roman"/>
          <w:sz w:val="26"/>
          <w:szCs w:val="26"/>
        </w:rPr>
        <w:t xml:space="preserve">Пятерка регионов-лидеров выглядит следующим образом: </w:t>
      </w:r>
    </w:p>
    <w:p w:rsidR="00EA4A37" w:rsidRDefault="00EA4A37" w:rsidP="00EA4A37">
      <w:pPr>
        <w:pStyle w:val="ac"/>
        <w:numPr>
          <w:ilvl w:val="0"/>
          <w:numId w:val="1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Ханты-Ма</w:t>
      </w:r>
      <w:r w:rsidR="00001D96">
        <w:rPr>
          <w:rFonts w:ascii="Times New Roman" w:hAnsi="Times New Roman"/>
          <w:sz w:val="26"/>
          <w:szCs w:val="26"/>
        </w:rPr>
        <w:t xml:space="preserve">нсийский АО – 2753 </w:t>
      </w:r>
      <w:r>
        <w:rPr>
          <w:rFonts w:ascii="Times New Roman" w:hAnsi="Times New Roman"/>
          <w:sz w:val="26"/>
          <w:szCs w:val="26"/>
        </w:rPr>
        <w:t>руб.</w:t>
      </w:r>
      <w:r w:rsidR="00001D96">
        <w:rPr>
          <w:rFonts w:ascii="Times New Roman" w:hAnsi="Times New Roman"/>
          <w:sz w:val="26"/>
          <w:szCs w:val="26"/>
        </w:rPr>
        <w:t xml:space="preserve">/чел. в год, </w:t>
      </w:r>
    </w:p>
    <w:p w:rsidR="00EA4A37" w:rsidRDefault="00001D96" w:rsidP="00EA4A37">
      <w:pPr>
        <w:pStyle w:val="ac"/>
        <w:numPr>
          <w:ilvl w:val="0"/>
          <w:numId w:val="1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Камчатский край – 3573 руб./чел. в год, </w:t>
      </w:r>
    </w:p>
    <w:p w:rsidR="00EA4A37" w:rsidRDefault="00001D96" w:rsidP="00EA4A37">
      <w:pPr>
        <w:pStyle w:val="ac"/>
        <w:numPr>
          <w:ilvl w:val="0"/>
          <w:numId w:val="1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Магаданская область - 4256</w:t>
      </w:r>
      <w:r w:rsidR="00EA4A37">
        <w:rPr>
          <w:rFonts w:ascii="Times New Roman" w:hAnsi="Times New Roman"/>
          <w:sz w:val="26"/>
          <w:szCs w:val="26"/>
        </w:rPr>
        <w:t xml:space="preserve">, </w:t>
      </w:r>
    </w:p>
    <w:p w:rsidR="00EA4A37" w:rsidRDefault="00EA4A37" w:rsidP="00EA4A37">
      <w:pPr>
        <w:pStyle w:val="ac"/>
        <w:numPr>
          <w:ilvl w:val="0"/>
          <w:numId w:val="1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Москва – 4326,</w:t>
      </w:r>
      <w:r w:rsidR="00001D96">
        <w:rPr>
          <w:rFonts w:ascii="Times New Roman" w:hAnsi="Times New Roman"/>
          <w:sz w:val="26"/>
          <w:szCs w:val="26"/>
        </w:rPr>
        <w:t xml:space="preserve"> </w:t>
      </w:r>
    </w:p>
    <w:p w:rsidR="0063796E" w:rsidRPr="007921EB" w:rsidRDefault="0063796E" w:rsidP="00EA4A37">
      <w:pPr>
        <w:pStyle w:val="ac"/>
        <w:numPr>
          <w:ilvl w:val="0"/>
          <w:numId w:val="12"/>
        </w:numPr>
        <w:spacing w:after="0"/>
        <w:rPr>
          <w:rFonts w:ascii="Times New Roman" w:hAnsi="Times New Roman"/>
          <w:sz w:val="26"/>
          <w:szCs w:val="26"/>
        </w:rPr>
      </w:pPr>
      <w:r w:rsidRPr="007921EB">
        <w:rPr>
          <w:rFonts w:ascii="Times New Roman" w:hAnsi="Times New Roman"/>
          <w:sz w:val="26"/>
          <w:szCs w:val="26"/>
        </w:rPr>
        <w:t xml:space="preserve">Чукотский автономный округ </w:t>
      </w:r>
      <w:r w:rsidR="00EA4A37">
        <w:rPr>
          <w:rFonts w:ascii="Times New Roman" w:hAnsi="Times New Roman"/>
          <w:sz w:val="26"/>
          <w:szCs w:val="26"/>
        </w:rPr>
        <w:t>– 4457 руб.</w:t>
      </w:r>
    </w:p>
    <w:p w:rsidR="006C50C1" w:rsidRPr="007921EB" w:rsidRDefault="00497988" w:rsidP="006C50C1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7921EB">
        <w:rPr>
          <w:rFonts w:ascii="Times New Roman" w:hAnsi="Times New Roman"/>
          <w:sz w:val="26"/>
          <w:szCs w:val="26"/>
        </w:rPr>
        <w:t>Визуальный анализ показывает, что объем подушев</w:t>
      </w:r>
      <w:r w:rsidR="00DB05B1">
        <w:rPr>
          <w:rFonts w:ascii="Times New Roman" w:hAnsi="Times New Roman"/>
          <w:sz w:val="26"/>
          <w:szCs w:val="26"/>
        </w:rPr>
        <w:t>ых</w:t>
      </w:r>
      <w:r w:rsidRPr="007921EB">
        <w:rPr>
          <w:rFonts w:ascii="Times New Roman" w:hAnsi="Times New Roman"/>
          <w:sz w:val="26"/>
          <w:szCs w:val="26"/>
        </w:rPr>
        <w:t xml:space="preserve"> (в расчете на одного жителя) расходов </w:t>
      </w:r>
      <w:r w:rsidR="00DB05B1">
        <w:rPr>
          <w:rFonts w:ascii="Times New Roman" w:hAnsi="Times New Roman"/>
          <w:sz w:val="26"/>
          <w:szCs w:val="26"/>
        </w:rPr>
        <w:t xml:space="preserve"> на социальное обслуживание </w:t>
      </w:r>
      <w:r w:rsidRPr="007921EB">
        <w:rPr>
          <w:rFonts w:ascii="Times New Roman" w:hAnsi="Times New Roman"/>
          <w:sz w:val="26"/>
          <w:szCs w:val="26"/>
        </w:rPr>
        <w:t xml:space="preserve">высок у относительно богатых (в смысле подушевой бюджетной обеспеченности) регионов, </w:t>
      </w:r>
      <w:r w:rsidR="00F142A8" w:rsidRPr="007921EB">
        <w:rPr>
          <w:rFonts w:ascii="Times New Roman" w:hAnsi="Times New Roman"/>
          <w:sz w:val="26"/>
          <w:szCs w:val="26"/>
        </w:rPr>
        <w:t>и низок</w:t>
      </w:r>
      <w:r w:rsidRPr="007921EB">
        <w:rPr>
          <w:rFonts w:ascii="Times New Roman" w:hAnsi="Times New Roman"/>
          <w:sz w:val="26"/>
          <w:szCs w:val="26"/>
        </w:rPr>
        <w:t xml:space="preserve"> у относительно бедных. </w:t>
      </w:r>
      <w:r w:rsidR="006C50C1">
        <w:rPr>
          <w:rFonts w:ascii="Times New Roman" w:hAnsi="Times New Roman"/>
          <w:sz w:val="26"/>
          <w:szCs w:val="26"/>
        </w:rPr>
        <w:t>Для проверки этой гипотезы в</w:t>
      </w:r>
      <w:r w:rsidR="007D7F59" w:rsidRPr="007921EB">
        <w:rPr>
          <w:rFonts w:ascii="Times New Roman" w:hAnsi="Times New Roman"/>
          <w:sz w:val="26"/>
          <w:szCs w:val="26"/>
        </w:rPr>
        <w:t xml:space="preserve"> </w:t>
      </w:r>
      <w:r w:rsidRPr="007921EB">
        <w:rPr>
          <w:rFonts w:ascii="Times New Roman" w:hAnsi="Times New Roman"/>
          <w:sz w:val="26"/>
          <w:szCs w:val="26"/>
        </w:rPr>
        <w:t>качестве</w:t>
      </w:r>
      <w:r w:rsidR="007D7F59" w:rsidRPr="007921EB">
        <w:rPr>
          <w:rFonts w:ascii="Times New Roman" w:hAnsi="Times New Roman"/>
          <w:sz w:val="26"/>
          <w:szCs w:val="26"/>
        </w:rPr>
        <w:t xml:space="preserve"> показателя</w:t>
      </w:r>
      <w:r w:rsidR="00DB05B1">
        <w:rPr>
          <w:rFonts w:ascii="Times New Roman" w:hAnsi="Times New Roman"/>
          <w:sz w:val="26"/>
          <w:szCs w:val="26"/>
        </w:rPr>
        <w:t xml:space="preserve">, отражающего </w:t>
      </w:r>
      <w:r w:rsidR="007D7F59" w:rsidRPr="007921EB">
        <w:rPr>
          <w:rFonts w:ascii="Times New Roman" w:hAnsi="Times New Roman"/>
          <w:sz w:val="26"/>
          <w:szCs w:val="26"/>
        </w:rPr>
        <w:t xml:space="preserve"> бюджетн</w:t>
      </w:r>
      <w:r w:rsidR="00DB05B1">
        <w:rPr>
          <w:rFonts w:ascii="Times New Roman" w:hAnsi="Times New Roman"/>
          <w:sz w:val="26"/>
          <w:szCs w:val="26"/>
        </w:rPr>
        <w:t>ую</w:t>
      </w:r>
      <w:r w:rsidR="007D7F59" w:rsidRPr="007921EB">
        <w:rPr>
          <w:rFonts w:ascii="Times New Roman" w:hAnsi="Times New Roman"/>
          <w:sz w:val="26"/>
          <w:szCs w:val="26"/>
        </w:rPr>
        <w:t xml:space="preserve"> обеспеченност</w:t>
      </w:r>
      <w:r w:rsidR="00DB05B1">
        <w:rPr>
          <w:rFonts w:ascii="Times New Roman" w:hAnsi="Times New Roman"/>
          <w:sz w:val="26"/>
          <w:szCs w:val="26"/>
        </w:rPr>
        <w:t xml:space="preserve">ь регионов, </w:t>
      </w:r>
      <w:r w:rsidR="007D7F59" w:rsidRPr="007921EB">
        <w:rPr>
          <w:rFonts w:ascii="Times New Roman" w:hAnsi="Times New Roman"/>
          <w:sz w:val="26"/>
          <w:szCs w:val="26"/>
        </w:rPr>
        <w:t xml:space="preserve"> возьмем объем</w:t>
      </w:r>
      <w:r w:rsidR="00EA4A37">
        <w:rPr>
          <w:rFonts w:ascii="Times New Roman" w:hAnsi="Times New Roman"/>
          <w:sz w:val="26"/>
          <w:szCs w:val="26"/>
        </w:rPr>
        <w:t>а</w:t>
      </w:r>
      <w:r w:rsidR="007D7F59" w:rsidRPr="007921EB">
        <w:rPr>
          <w:rFonts w:ascii="Times New Roman" w:hAnsi="Times New Roman"/>
          <w:sz w:val="26"/>
          <w:szCs w:val="26"/>
        </w:rPr>
        <w:t xml:space="preserve"> расходов консолидированного б</w:t>
      </w:r>
      <w:r w:rsidR="0062560F" w:rsidRPr="007921EB">
        <w:rPr>
          <w:rFonts w:ascii="Times New Roman" w:hAnsi="Times New Roman"/>
          <w:sz w:val="26"/>
          <w:szCs w:val="26"/>
        </w:rPr>
        <w:t>юджета региона на одного жител</w:t>
      </w:r>
      <w:r w:rsidR="00EA1A31" w:rsidRPr="007921EB">
        <w:rPr>
          <w:rFonts w:ascii="Times New Roman" w:hAnsi="Times New Roman"/>
          <w:sz w:val="26"/>
          <w:szCs w:val="26"/>
        </w:rPr>
        <w:t>я</w:t>
      </w:r>
      <w:r w:rsidR="0062560F" w:rsidRPr="007921EB">
        <w:rPr>
          <w:rFonts w:ascii="Times New Roman" w:hAnsi="Times New Roman"/>
          <w:sz w:val="26"/>
          <w:szCs w:val="26"/>
        </w:rPr>
        <w:t xml:space="preserve">. </w:t>
      </w:r>
    </w:p>
    <w:p w:rsidR="00701211" w:rsidRDefault="00497988" w:rsidP="00701211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701211">
        <w:rPr>
          <w:rFonts w:ascii="Times New Roman" w:hAnsi="Times New Roman"/>
          <w:sz w:val="26"/>
          <w:szCs w:val="26"/>
        </w:rPr>
        <w:t xml:space="preserve">Оценка линейной регрессии, связывающей подушевые расходы на </w:t>
      </w:r>
      <w:r w:rsidR="00934B7C">
        <w:rPr>
          <w:rFonts w:ascii="Times New Roman" w:hAnsi="Times New Roman"/>
          <w:sz w:val="26"/>
          <w:szCs w:val="26"/>
        </w:rPr>
        <w:t>соцобслуживание</w:t>
      </w:r>
      <w:r w:rsidRPr="00701211">
        <w:rPr>
          <w:rFonts w:ascii="Times New Roman" w:hAnsi="Times New Roman"/>
          <w:sz w:val="26"/>
          <w:szCs w:val="26"/>
        </w:rPr>
        <w:t xml:space="preserve"> с подушевой бюджетной обеспеченностью, дает следующие результаты:</w:t>
      </w:r>
    </w:p>
    <w:p w:rsidR="00701211" w:rsidRDefault="00701211" w:rsidP="00701211">
      <w:pPr>
        <w:pStyle w:val="ac"/>
        <w:spacing w:after="0"/>
        <w:rPr>
          <w:rFonts w:ascii="Times New Roman" w:hAnsi="Times New Roman"/>
          <w:sz w:val="26"/>
          <w:szCs w:val="26"/>
        </w:rPr>
      </w:pPr>
    </w:p>
    <w:p w:rsidR="00701211" w:rsidRDefault="00701211" w:rsidP="00701211">
      <w:pPr>
        <w:pStyle w:val="ac"/>
        <w:spacing w:after="0"/>
        <w:rPr>
          <w:rFonts w:ascii="Times New Roman" w:hAnsi="Times New Roman"/>
          <w:sz w:val="26"/>
          <w:szCs w:val="26"/>
        </w:rPr>
      </w:pPr>
    </w:p>
    <w:p w:rsidR="00013A93" w:rsidRPr="00701211" w:rsidRDefault="00013A93" w:rsidP="00701211">
      <w:pPr>
        <w:pStyle w:val="ac"/>
        <w:spacing w:after="0"/>
        <w:ind w:firstLine="0"/>
        <w:rPr>
          <w:rFonts w:ascii="Times New Roman" w:hAnsi="Times New Roman"/>
          <w:i/>
          <w:sz w:val="26"/>
          <w:szCs w:val="26"/>
        </w:rPr>
      </w:pPr>
      <w:r w:rsidRPr="00701211">
        <w:rPr>
          <w:rFonts w:ascii="Times New Roman" w:hAnsi="Times New Roman"/>
          <w:i/>
        </w:rPr>
        <w:t xml:space="preserve">Расходы на </w:t>
      </w:r>
      <w:r w:rsidR="006C50C1">
        <w:rPr>
          <w:rFonts w:ascii="Times New Roman" w:hAnsi="Times New Roman"/>
          <w:i/>
        </w:rPr>
        <w:t>соцзащиту</w:t>
      </w:r>
      <w:r w:rsidRPr="00701211">
        <w:rPr>
          <w:rFonts w:ascii="Times New Roman" w:hAnsi="Times New Roman"/>
          <w:i/>
        </w:rPr>
        <w:t xml:space="preserve"> = 0,</w:t>
      </w:r>
      <w:r w:rsidR="00B9752F">
        <w:rPr>
          <w:rFonts w:ascii="Times New Roman" w:hAnsi="Times New Roman"/>
          <w:i/>
        </w:rPr>
        <w:t>0102*</w:t>
      </w:r>
      <w:r w:rsidRPr="00701211">
        <w:rPr>
          <w:rFonts w:ascii="Times New Roman" w:hAnsi="Times New Roman"/>
          <w:i/>
        </w:rPr>
        <w:t xml:space="preserve"> подушевая </w:t>
      </w:r>
      <w:r w:rsidR="00497988" w:rsidRPr="00701211">
        <w:rPr>
          <w:rFonts w:ascii="Times New Roman" w:hAnsi="Times New Roman"/>
          <w:i/>
        </w:rPr>
        <w:t>бюджетная</w:t>
      </w:r>
      <w:r w:rsidRPr="00701211">
        <w:rPr>
          <w:rFonts w:ascii="Times New Roman" w:hAnsi="Times New Roman"/>
          <w:i/>
        </w:rPr>
        <w:t xml:space="preserve"> обеспеченность + </w:t>
      </w:r>
      <w:r w:rsidR="00B9752F">
        <w:rPr>
          <w:rFonts w:ascii="Times New Roman" w:hAnsi="Times New Roman"/>
          <w:i/>
        </w:rPr>
        <w:t>624,3</w:t>
      </w:r>
    </w:p>
    <w:p w:rsidR="00013A93" w:rsidRPr="00701211" w:rsidRDefault="00013A93" w:rsidP="00D404F9">
      <w:pPr>
        <w:jc w:val="both"/>
        <w:rPr>
          <w:rFonts w:ascii="Times New Roman" w:hAnsi="Times New Roman" w:cs="Times New Roman"/>
          <w:i/>
          <w:sz w:val="24"/>
        </w:rPr>
      </w:pPr>
      <w:r w:rsidRPr="00701211">
        <w:rPr>
          <w:rFonts w:ascii="Times New Roman" w:hAnsi="Times New Roman" w:cs="Times New Roman"/>
          <w:i/>
          <w:sz w:val="20"/>
          <w:szCs w:val="20"/>
          <w:lang w:val="en-US"/>
        </w:rPr>
        <w:t>R</w:t>
      </w:r>
      <w:r w:rsidRPr="00701211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701211">
        <w:rPr>
          <w:rFonts w:ascii="Times New Roman" w:hAnsi="Times New Roman" w:cs="Times New Roman"/>
          <w:i/>
          <w:sz w:val="20"/>
          <w:szCs w:val="20"/>
        </w:rPr>
        <w:t>= 0,</w:t>
      </w:r>
      <w:r w:rsidR="00B9752F">
        <w:rPr>
          <w:rFonts w:ascii="Times New Roman" w:hAnsi="Times New Roman" w:cs="Times New Roman"/>
          <w:i/>
          <w:sz w:val="20"/>
          <w:szCs w:val="20"/>
        </w:rPr>
        <w:t>55</w:t>
      </w:r>
      <w:r w:rsidRPr="007012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01211">
        <w:rPr>
          <w:rFonts w:ascii="Times New Roman" w:hAnsi="Times New Roman" w:cs="Times New Roman"/>
          <w:i/>
          <w:sz w:val="24"/>
        </w:rPr>
        <w:t xml:space="preserve">                            </w:t>
      </w:r>
      <w:r w:rsidRPr="00701211">
        <w:rPr>
          <w:rFonts w:ascii="Times New Roman" w:hAnsi="Times New Roman" w:cs="Times New Roman"/>
          <w:i/>
          <w:lang w:val="en-US"/>
        </w:rPr>
        <w:t>se</w:t>
      </w:r>
      <w:r w:rsidR="00B9752F">
        <w:rPr>
          <w:rFonts w:ascii="Times New Roman" w:hAnsi="Times New Roman" w:cs="Times New Roman"/>
          <w:i/>
        </w:rPr>
        <w:t xml:space="preserve"> =0,001</w:t>
      </w:r>
      <w:r w:rsidRPr="00701211">
        <w:rPr>
          <w:rFonts w:ascii="Times New Roman" w:hAnsi="Times New Roman" w:cs="Times New Roman"/>
          <w:i/>
        </w:rPr>
        <w:t xml:space="preserve"> </w:t>
      </w:r>
      <w:r w:rsidRPr="00701211">
        <w:rPr>
          <w:rFonts w:ascii="Times New Roman" w:hAnsi="Times New Roman" w:cs="Times New Roman"/>
          <w:i/>
          <w:sz w:val="24"/>
        </w:rPr>
        <w:t xml:space="preserve">                          </w:t>
      </w:r>
      <w:r w:rsidR="00B9752F">
        <w:rPr>
          <w:rFonts w:ascii="Times New Roman" w:hAnsi="Times New Roman" w:cs="Times New Roman"/>
          <w:i/>
          <w:sz w:val="24"/>
        </w:rPr>
        <w:t xml:space="preserve">           </w:t>
      </w:r>
      <w:r w:rsidRPr="00701211">
        <w:rPr>
          <w:rFonts w:ascii="Times New Roman" w:hAnsi="Times New Roman" w:cs="Times New Roman"/>
          <w:i/>
          <w:sz w:val="24"/>
        </w:rPr>
        <w:t xml:space="preserve">                                   </w:t>
      </w:r>
      <w:r w:rsidRPr="00701211">
        <w:rPr>
          <w:rFonts w:ascii="Times New Roman" w:hAnsi="Times New Roman" w:cs="Times New Roman"/>
          <w:i/>
          <w:lang w:val="en-US"/>
        </w:rPr>
        <w:t>se</w:t>
      </w:r>
      <w:r w:rsidRPr="00701211">
        <w:rPr>
          <w:rFonts w:ascii="Times New Roman" w:hAnsi="Times New Roman" w:cs="Times New Roman"/>
          <w:i/>
        </w:rPr>
        <w:t>=</w:t>
      </w:r>
      <w:r w:rsidR="00B9752F">
        <w:rPr>
          <w:rFonts w:ascii="Times New Roman" w:hAnsi="Times New Roman" w:cs="Times New Roman"/>
          <w:i/>
        </w:rPr>
        <w:t>89,4</w:t>
      </w:r>
    </w:p>
    <w:p w:rsidR="00701211" w:rsidRDefault="00701211" w:rsidP="00701211">
      <w:pPr>
        <w:pStyle w:val="ac"/>
        <w:spacing w:after="0"/>
        <w:rPr>
          <w:rFonts w:ascii="Times New Roman" w:hAnsi="Times New Roman"/>
          <w:sz w:val="26"/>
          <w:szCs w:val="26"/>
        </w:rPr>
      </w:pPr>
    </w:p>
    <w:p w:rsidR="00040EC4" w:rsidRDefault="00013A93" w:rsidP="00701211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701211">
        <w:rPr>
          <w:rFonts w:ascii="Times New Roman" w:hAnsi="Times New Roman"/>
          <w:sz w:val="26"/>
          <w:szCs w:val="26"/>
        </w:rPr>
        <w:t xml:space="preserve">Таким образом, связь между </w:t>
      </w:r>
      <w:r w:rsidR="00497988" w:rsidRPr="00701211">
        <w:rPr>
          <w:rFonts w:ascii="Times New Roman" w:hAnsi="Times New Roman"/>
          <w:sz w:val="26"/>
          <w:szCs w:val="26"/>
        </w:rPr>
        <w:t>двумя</w:t>
      </w:r>
      <w:r w:rsidRPr="00701211">
        <w:rPr>
          <w:rFonts w:ascii="Times New Roman" w:hAnsi="Times New Roman"/>
          <w:sz w:val="26"/>
          <w:szCs w:val="26"/>
        </w:rPr>
        <w:t xml:space="preserve"> переменными </w:t>
      </w:r>
      <w:r w:rsidR="0071364D">
        <w:rPr>
          <w:rFonts w:ascii="Times New Roman" w:hAnsi="Times New Roman"/>
          <w:sz w:val="26"/>
          <w:szCs w:val="26"/>
        </w:rPr>
        <w:t xml:space="preserve">– подушевым объемом расходов на социальное обслуживание и бюджетной обеспеченностью региона - </w:t>
      </w:r>
      <w:r w:rsidR="00B9752F">
        <w:rPr>
          <w:rFonts w:ascii="Times New Roman" w:hAnsi="Times New Roman"/>
          <w:sz w:val="26"/>
          <w:szCs w:val="26"/>
        </w:rPr>
        <w:t xml:space="preserve">присутствует, </w:t>
      </w:r>
      <w:r w:rsidR="00040EC4">
        <w:rPr>
          <w:rFonts w:ascii="Times New Roman" w:hAnsi="Times New Roman"/>
          <w:sz w:val="26"/>
          <w:szCs w:val="26"/>
        </w:rPr>
        <w:t xml:space="preserve">хотя </w:t>
      </w:r>
      <w:r w:rsidR="00B9752F">
        <w:rPr>
          <w:rFonts w:ascii="Times New Roman" w:hAnsi="Times New Roman"/>
          <w:sz w:val="26"/>
          <w:szCs w:val="26"/>
        </w:rPr>
        <w:t>детерминированность этой связи не с</w:t>
      </w:r>
      <w:r w:rsidR="00040EC4">
        <w:rPr>
          <w:rFonts w:ascii="Times New Roman" w:hAnsi="Times New Roman"/>
          <w:sz w:val="26"/>
          <w:szCs w:val="26"/>
        </w:rPr>
        <w:t>л</w:t>
      </w:r>
      <w:r w:rsidR="00B9752F">
        <w:rPr>
          <w:rFonts w:ascii="Times New Roman" w:hAnsi="Times New Roman"/>
          <w:sz w:val="26"/>
          <w:szCs w:val="26"/>
        </w:rPr>
        <w:t>ишком высока (55%). Представление о том, насколь</w:t>
      </w:r>
      <w:r w:rsidR="00040EC4">
        <w:rPr>
          <w:rFonts w:ascii="Times New Roman" w:hAnsi="Times New Roman"/>
          <w:sz w:val="26"/>
          <w:szCs w:val="26"/>
        </w:rPr>
        <w:t>к</w:t>
      </w:r>
      <w:r w:rsidR="00B9752F">
        <w:rPr>
          <w:rFonts w:ascii="Times New Roman" w:hAnsi="Times New Roman"/>
          <w:sz w:val="26"/>
          <w:szCs w:val="26"/>
        </w:rPr>
        <w:t>о различаются между собой фактические подушевые расходы на</w:t>
      </w:r>
      <w:r w:rsidR="00040EC4">
        <w:rPr>
          <w:rFonts w:ascii="Times New Roman" w:hAnsi="Times New Roman"/>
          <w:sz w:val="26"/>
          <w:szCs w:val="26"/>
        </w:rPr>
        <w:t xml:space="preserve"> социальное обслуживание и значения, предсказанные  с помощью </w:t>
      </w:r>
      <w:r w:rsidRPr="00701211">
        <w:rPr>
          <w:rFonts w:ascii="Times New Roman" w:hAnsi="Times New Roman"/>
          <w:sz w:val="26"/>
          <w:szCs w:val="26"/>
        </w:rPr>
        <w:t>регрессии</w:t>
      </w:r>
      <w:r w:rsidR="00040EC4">
        <w:rPr>
          <w:rFonts w:ascii="Times New Roman" w:hAnsi="Times New Roman"/>
          <w:sz w:val="26"/>
          <w:szCs w:val="26"/>
        </w:rPr>
        <w:t>, дает следующий рисунок.</w:t>
      </w:r>
    </w:p>
    <w:p w:rsidR="00040EC4" w:rsidRDefault="00040EC4" w:rsidP="0037595D">
      <w:pPr>
        <w:pStyle w:val="ac"/>
        <w:spacing w:after="0"/>
        <w:ind w:firstLine="0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2F581F" w:rsidTr="005007A7">
        <w:tc>
          <w:tcPr>
            <w:tcW w:w="8222" w:type="dxa"/>
          </w:tcPr>
          <w:p w:rsidR="002F581F" w:rsidRPr="002F581F" w:rsidRDefault="002F581F" w:rsidP="002F581F">
            <w:pPr>
              <w:pStyle w:val="ac"/>
              <w:spacing w:after="0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F581F">
              <w:rPr>
                <w:rFonts w:asciiTheme="minorHAnsi" w:hAnsiTheme="minorHAnsi"/>
                <w:b/>
                <w:sz w:val="20"/>
                <w:szCs w:val="20"/>
              </w:rPr>
              <w:t>Фактические подушевые расходы на социальное обслуживание и значения, предсказанные с помощью регрессии от подушевой обеспеченности региона, 2012 г. руб./чел. в год</w:t>
            </w:r>
          </w:p>
        </w:tc>
      </w:tr>
    </w:tbl>
    <w:p w:rsidR="00040EC4" w:rsidRDefault="00040EC4" w:rsidP="0037595D">
      <w:pPr>
        <w:pStyle w:val="ac"/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46D53733" wp14:editId="7CB37F35">
            <wp:extent cx="6202680" cy="3619500"/>
            <wp:effectExtent l="0" t="0" r="2667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7595D" w:rsidRPr="005007A7" w:rsidRDefault="0037595D" w:rsidP="0037595D">
      <w:pPr>
        <w:pStyle w:val="ac"/>
        <w:spacing w:after="0"/>
        <w:ind w:firstLine="0"/>
        <w:rPr>
          <w:rFonts w:ascii="Times New Roman" w:hAnsi="Times New Roman"/>
          <w:sz w:val="20"/>
          <w:szCs w:val="20"/>
        </w:rPr>
      </w:pPr>
      <w:r w:rsidRPr="005007A7">
        <w:rPr>
          <w:rFonts w:ascii="Times New Roman" w:hAnsi="Times New Roman"/>
          <w:i/>
          <w:sz w:val="20"/>
          <w:szCs w:val="20"/>
        </w:rPr>
        <w:t>Источник:</w:t>
      </w:r>
      <w:r w:rsidRPr="005007A7">
        <w:rPr>
          <w:rFonts w:ascii="Times New Roman" w:hAnsi="Times New Roman"/>
          <w:sz w:val="20"/>
          <w:szCs w:val="20"/>
        </w:rPr>
        <w:t xml:space="preserve"> отчет Росказны об исполнении консолидированных </w:t>
      </w:r>
      <w:r w:rsidR="008F67B1" w:rsidRPr="005007A7">
        <w:rPr>
          <w:rFonts w:ascii="Times New Roman" w:hAnsi="Times New Roman"/>
          <w:sz w:val="20"/>
          <w:szCs w:val="20"/>
        </w:rPr>
        <w:t>бюджетов</w:t>
      </w:r>
      <w:r w:rsidRPr="005007A7">
        <w:rPr>
          <w:rFonts w:ascii="Times New Roman" w:hAnsi="Times New Roman"/>
          <w:sz w:val="20"/>
          <w:szCs w:val="20"/>
        </w:rPr>
        <w:t xml:space="preserve"> регионов за 2012 г., собственные расчеты авторов. В расчетах использовались расходы консолидированных бюджет</w:t>
      </w:r>
      <w:r w:rsidR="00934B7C" w:rsidRPr="005007A7">
        <w:rPr>
          <w:rFonts w:ascii="Times New Roman" w:hAnsi="Times New Roman"/>
          <w:sz w:val="20"/>
          <w:szCs w:val="20"/>
        </w:rPr>
        <w:t>ов</w:t>
      </w:r>
      <w:r w:rsidRPr="005007A7">
        <w:rPr>
          <w:rFonts w:ascii="Times New Roman" w:hAnsi="Times New Roman"/>
          <w:sz w:val="20"/>
          <w:szCs w:val="20"/>
        </w:rPr>
        <w:t xml:space="preserve"> регионов, не скорректированные на покупательную способность рубля (индекс потребительских цен).</w:t>
      </w:r>
    </w:p>
    <w:p w:rsidR="005007A7" w:rsidRDefault="005007A7" w:rsidP="00701211">
      <w:pPr>
        <w:pStyle w:val="ac"/>
        <w:spacing w:after="0"/>
        <w:rPr>
          <w:rFonts w:ascii="Times New Roman" w:hAnsi="Times New Roman"/>
          <w:sz w:val="26"/>
          <w:szCs w:val="26"/>
        </w:rPr>
      </w:pPr>
    </w:p>
    <w:p w:rsidR="0037595D" w:rsidRDefault="0037595D" w:rsidP="00701211">
      <w:pPr>
        <w:pStyle w:val="ac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Рисунок показывает, что зависимость подушевых расходов на </w:t>
      </w:r>
      <w:r w:rsidR="008F67B1">
        <w:rPr>
          <w:rFonts w:ascii="Times New Roman" w:hAnsi="Times New Roman"/>
          <w:sz w:val="26"/>
          <w:szCs w:val="26"/>
        </w:rPr>
        <w:t>социальное обслуживание</w:t>
      </w:r>
      <w:r>
        <w:rPr>
          <w:rFonts w:ascii="Times New Roman" w:hAnsi="Times New Roman"/>
          <w:sz w:val="26"/>
          <w:szCs w:val="26"/>
        </w:rPr>
        <w:t xml:space="preserve"> в регионах реализуется, скорее, как усредненная тенденция: фактические значения расходов могут быть как больше, так и меньше тех, которые предсказаны с помощью регрессии. </w:t>
      </w:r>
    </w:p>
    <w:p w:rsidR="00492BEE" w:rsidRDefault="008F67B1" w:rsidP="00701211">
      <w:pPr>
        <w:pStyle w:val="ac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Попытка уточнить зависимость объема подушевых расходов с учетом потребности населения региона в услугах социального обслуживания (расходы на </w:t>
      </w:r>
      <w:r>
        <w:rPr>
          <w:rFonts w:ascii="Times New Roman" w:hAnsi="Times New Roman"/>
          <w:sz w:val="26"/>
          <w:szCs w:val="26"/>
        </w:rPr>
        <w:lastRenderedPageBreak/>
        <w:t>социальное обслуживание в расчет на одного жителя старше трудоспособного возраста) от подушевой бюджетной обеспеченности не дала хороших результатов: коэффициент детерминированности указанной зависимости оказывается еще ниже (22%),чем в предыдущем случае.</w:t>
      </w:r>
    </w:p>
    <w:p w:rsidR="008C1D87" w:rsidRDefault="008C1D87" w:rsidP="006335F8">
      <w:pPr>
        <w:pStyle w:val="ac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Вывод заключается в том, что бюджетная обеспеченность региона не является главным фактором, определяющим объем подушевых бюджетных расходов на социальное обслуж</w:t>
      </w:r>
      <w:r w:rsidR="005007A7">
        <w:rPr>
          <w:rFonts w:ascii="Times New Roman" w:hAnsi="Times New Roman"/>
          <w:sz w:val="26"/>
          <w:szCs w:val="26"/>
        </w:rPr>
        <w:t xml:space="preserve">ивание население, хотя </w:t>
      </w:r>
      <w:r>
        <w:rPr>
          <w:rFonts w:ascii="Times New Roman" w:hAnsi="Times New Roman"/>
          <w:sz w:val="26"/>
          <w:szCs w:val="26"/>
        </w:rPr>
        <w:t>некоторое влияние это фактор оказывает.</w:t>
      </w:r>
    </w:p>
    <w:p w:rsidR="0071364D" w:rsidRDefault="0071364D" w:rsidP="0071364D">
      <w:pPr>
        <w:pStyle w:val="1"/>
        <w:rPr>
          <w:i/>
          <w:sz w:val="26"/>
          <w:szCs w:val="26"/>
          <w:lang w:val="ru-RU"/>
        </w:rPr>
      </w:pPr>
      <w:bookmarkStart w:id="3" w:name="_Toc383442168"/>
      <w:r w:rsidRPr="0071364D">
        <w:rPr>
          <w:i/>
          <w:sz w:val="26"/>
          <w:szCs w:val="26"/>
        </w:rPr>
        <w:t>Степень неравенства населения регионов в обеспеченности финансированием социального обслуживания населения</w:t>
      </w:r>
      <w:bookmarkEnd w:id="3"/>
    </w:p>
    <w:p w:rsidR="0071364D" w:rsidRPr="006335F8" w:rsidRDefault="0071364D" w:rsidP="006335F8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6335F8">
        <w:rPr>
          <w:rFonts w:ascii="Times New Roman" w:hAnsi="Times New Roman"/>
          <w:sz w:val="26"/>
          <w:szCs w:val="26"/>
        </w:rPr>
        <w:t xml:space="preserve">В предыдущем разделе </w:t>
      </w:r>
      <w:r w:rsidR="005007A7" w:rsidRPr="006335F8">
        <w:rPr>
          <w:rFonts w:ascii="Times New Roman" w:hAnsi="Times New Roman"/>
          <w:sz w:val="26"/>
          <w:szCs w:val="26"/>
        </w:rPr>
        <w:t>было показано</w:t>
      </w:r>
      <w:r w:rsidRPr="006335F8">
        <w:rPr>
          <w:rFonts w:ascii="Times New Roman" w:hAnsi="Times New Roman"/>
          <w:sz w:val="26"/>
          <w:szCs w:val="26"/>
        </w:rPr>
        <w:t>, что регионы р</w:t>
      </w:r>
      <w:r w:rsidR="00167C7F" w:rsidRPr="006335F8">
        <w:rPr>
          <w:rFonts w:ascii="Times New Roman" w:hAnsi="Times New Roman"/>
          <w:sz w:val="26"/>
          <w:szCs w:val="26"/>
        </w:rPr>
        <w:t>езко различаются между со</w:t>
      </w:r>
      <w:r w:rsidR="005007A7" w:rsidRPr="006335F8">
        <w:rPr>
          <w:rFonts w:ascii="Times New Roman" w:hAnsi="Times New Roman"/>
          <w:sz w:val="26"/>
          <w:szCs w:val="26"/>
        </w:rPr>
        <w:t>б</w:t>
      </w:r>
      <w:r w:rsidR="00167C7F" w:rsidRPr="006335F8">
        <w:rPr>
          <w:rFonts w:ascii="Times New Roman" w:hAnsi="Times New Roman"/>
          <w:sz w:val="26"/>
          <w:szCs w:val="26"/>
        </w:rPr>
        <w:t xml:space="preserve">ой по </w:t>
      </w:r>
      <w:r w:rsidRPr="006335F8">
        <w:rPr>
          <w:rFonts w:ascii="Times New Roman" w:hAnsi="Times New Roman"/>
          <w:sz w:val="26"/>
          <w:szCs w:val="26"/>
        </w:rPr>
        <w:t xml:space="preserve">объему подушевых расходов на  социальное обслуживание население. </w:t>
      </w:r>
      <w:r w:rsidR="00C366A6" w:rsidRPr="006335F8">
        <w:rPr>
          <w:rFonts w:ascii="Times New Roman" w:hAnsi="Times New Roman"/>
          <w:sz w:val="26"/>
          <w:szCs w:val="26"/>
        </w:rPr>
        <w:t xml:space="preserve"> Представленный там рисунок  «Подушевые расходы регионов на социальное обслуживание население, 2012 г., руб./чел. в год» Дает некоторое представление о разбросе показателя  подушевой бюджетной обеспеченности населения регионов этими расходами,  однако данное представление не учитывает разного «веса» регионов с точки зрения численности населения. Чтобы оценить общую степень неравенства </w:t>
      </w:r>
      <w:r w:rsidRPr="006335F8">
        <w:rPr>
          <w:rFonts w:ascii="Times New Roman" w:hAnsi="Times New Roman"/>
          <w:sz w:val="26"/>
          <w:szCs w:val="26"/>
        </w:rPr>
        <w:t>распределения расходов на социальное обслуживание между населением регионов</w:t>
      </w:r>
      <w:r w:rsidR="00C366A6" w:rsidRPr="006335F8">
        <w:rPr>
          <w:rFonts w:ascii="Times New Roman" w:hAnsi="Times New Roman"/>
          <w:sz w:val="26"/>
          <w:szCs w:val="26"/>
        </w:rPr>
        <w:t xml:space="preserve">, была построена  кривая Лоренца,  учитывающая не только разброс показателя обеспеченности населения доходами </w:t>
      </w:r>
      <w:r w:rsidRPr="006335F8">
        <w:rPr>
          <w:rFonts w:ascii="Times New Roman" w:hAnsi="Times New Roman"/>
          <w:sz w:val="26"/>
          <w:szCs w:val="26"/>
        </w:rPr>
        <w:t xml:space="preserve"> </w:t>
      </w:r>
      <w:r w:rsidR="00C366A6" w:rsidRPr="006335F8">
        <w:rPr>
          <w:rFonts w:ascii="Times New Roman" w:hAnsi="Times New Roman"/>
          <w:sz w:val="26"/>
          <w:szCs w:val="26"/>
        </w:rPr>
        <w:t xml:space="preserve">( в данном случае в качестве доходов населения выступают расход бюджета на социальное обслуживание), но и численность населения регионов, а также рассчитан </w:t>
      </w:r>
      <w:r w:rsidRPr="006335F8">
        <w:rPr>
          <w:rFonts w:ascii="Times New Roman" w:hAnsi="Times New Roman"/>
          <w:sz w:val="26"/>
          <w:szCs w:val="26"/>
        </w:rPr>
        <w:t>с коэффициент Джини</w:t>
      </w:r>
      <w:r w:rsidR="00C366A6" w:rsidRPr="006335F8">
        <w:rPr>
          <w:rFonts w:ascii="Times New Roman" w:hAnsi="Times New Roman"/>
          <w:sz w:val="26"/>
          <w:szCs w:val="26"/>
        </w:rPr>
        <w:t>, отражающий степень этого неравенства.</w:t>
      </w:r>
    </w:p>
    <w:p w:rsidR="0071364D" w:rsidRDefault="0071364D" w:rsidP="00405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05367" w:rsidTr="00405367">
        <w:tc>
          <w:tcPr>
            <w:tcW w:w="9571" w:type="dxa"/>
          </w:tcPr>
          <w:p w:rsidR="00405367" w:rsidRDefault="00405367" w:rsidP="006149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Справка.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53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 Джини</w:t>
            </w:r>
            <w:r w:rsidRPr="0071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количественный показатель, показывающий степень неравенства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вариантов распределения доходов</w:t>
            </w:r>
            <w:r w:rsidRPr="0071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 коэффициент можно как отношение площади фигуры, образованной кривой Лоренца и кривой равенства, к площади треугольника, образованного кривыми равенства и неравенства</w:t>
            </w:r>
            <w:r>
              <w:t>.</w:t>
            </w:r>
            <w:r w:rsidRPr="0071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выше неравенство в распределении доходов, тем больше коэффициент приближается к единице (абсолютное неравенство). И чем выше равенство в распределении доходов, тем меньше данный коэффициент. При абсолютном равенстве он достигает нуля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05367" w:rsidRPr="006335F8" w:rsidRDefault="00405367" w:rsidP="006335F8">
      <w:pPr>
        <w:pStyle w:val="ac"/>
        <w:spacing w:after="0"/>
        <w:rPr>
          <w:rFonts w:ascii="Times New Roman" w:hAnsi="Times New Roman"/>
          <w:sz w:val="26"/>
          <w:szCs w:val="26"/>
        </w:rPr>
      </w:pPr>
    </w:p>
    <w:p w:rsidR="005007A7" w:rsidRPr="00285DB3" w:rsidRDefault="00405367" w:rsidP="00285DB3">
      <w:pPr>
        <w:pStyle w:val="ac"/>
        <w:spacing w:after="0"/>
        <w:ind w:firstLine="567"/>
        <w:rPr>
          <w:rFonts w:ascii="Times New Roman" w:hAnsi="Times New Roman"/>
        </w:rPr>
      </w:pPr>
      <w:r w:rsidRPr="006335F8">
        <w:rPr>
          <w:rFonts w:ascii="Times New Roman" w:hAnsi="Times New Roman"/>
          <w:sz w:val="26"/>
          <w:szCs w:val="26"/>
        </w:rPr>
        <w:t>Чтобы построить кривую Лоренца для  оценки неравенства для случая, когда в качестве дохода выступает показатель подушевой обеспеченности населения бюджетными расходами на социальное обслуживание,  все регионы были проранжированы по уровню этого показателя и по осям первого квадранта (Х,У) были отложены</w:t>
      </w:r>
      <w:r w:rsidR="00167C7F" w:rsidRPr="006335F8">
        <w:rPr>
          <w:rFonts w:ascii="Times New Roman" w:hAnsi="Times New Roman"/>
          <w:sz w:val="26"/>
          <w:szCs w:val="26"/>
        </w:rPr>
        <w:t xml:space="preserve"> проценты населения и доходов (бюджетных расходоы на социальное обслуживание) накопленным итогом, по проранжированной после</w:t>
      </w:r>
      <w:r w:rsidR="00C366A6" w:rsidRPr="006335F8">
        <w:rPr>
          <w:rFonts w:ascii="Times New Roman" w:hAnsi="Times New Roman"/>
          <w:sz w:val="26"/>
          <w:szCs w:val="26"/>
        </w:rPr>
        <w:t>д</w:t>
      </w:r>
      <w:r w:rsidR="00167C7F" w:rsidRPr="006335F8">
        <w:rPr>
          <w:rFonts w:ascii="Times New Roman" w:hAnsi="Times New Roman"/>
          <w:sz w:val="26"/>
          <w:szCs w:val="26"/>
        </w:rPr>
        <w:t>овательности регионов. Получившаяся кривая Лоренца имеет следующий вид: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5007A7" w:rsidRPr="00285DB3" w:rsidTr="005007A7">
        <w:tc>
          <w:tcPr>
            <w:tcW w:w="8222" w:type="dxa"/>
          </w:tcPr>
          <w:p w:rsidR="005007A7" w:rsidRDefault="005007A7" w:rsidP="00285DB3">
            <w:pPr>
              <w:pStyle w:val="ac"/>
              <w:spacing w:after="0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5DB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Кривая Лоренца для оценки неравенства обеспеченности населения регионов бюджетными расходами на социальной обслуживание</w:t>
            </w:r>
            <w:r w:rsidRPr="00285DB3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footnoteReference w:id="5"/>
            </w:r>
          </w:p>
          <w:p w:rsidR="00285DB3" w:rsidRPr="00285DB3" w:rsidRDefault="00285DB3" w:rsidP="00285DB3">
            <w:pPr>
              <w:pStyle w:val="ac"/>
              <w:spacing w:after="0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67C7F" w:rsidRPr="00285DB3" w:rsidRDefault="00167C7F" w:rsidP="00285DB3">
      <w:pPr>
        <w:pStyle w:val="ac"/>
        <w:spacing w:after="0"/>
        <w:ind w:left="709"/>
        <w:rPr>
          <w:rFonts w:ascii="Times New Roman" w:hAnsi="Times New Roman"/>
          <w:sz w:val="26"/>
          <w:szCs w:val="26"/>
        </w:rPr>
      </w:pPr>
      <w:r w:rsidRPr="00285DB3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78E66B7" wp14:editId="5D076268">
            <wp:extent cx="4107180" cy="2209800"/>
            <wp:effectExtent l="0" t="0" r="266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67C7F" w:rsidRPr="006335F8" w:rsidRDefault="00167C7F" w:rsidP="006335F8">
      <w:pPr>
        <w:pStyle w:val="ac"/>
        <w:spacing w:after="0"/>
        <w:rPr>
          <w:rFonts w:ascii="Times New Roman" w:hAnsi="Times New Roman"/>
          <w:sz w:val="26"/>
          <w:szCs w:val="26"/>
        </w:rPr>
      </w:pPr>
    </w:p>
    <w:p w:rsidR="00167C7F" w:rsidRPr="006335F8" w:rsidRDefault="00167C7F" w:rsidP="006335F8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6335F8">
        <w:rPr>
          <w:rFonts w:ascii="Times New Roman" w:hAnsi="Times New Roman"/>
          <w:sz w:val="26"/>
          <w:szCs w:val="26"/>
        </w:rPr>
        <w:t>Коэффициент Джини оказался равен 0,55. Это з</w:t>
      </w:r>
      <w:r w:rsidR="00C366A6" w:rsidRPr="006335F8">
        <w:rPr>
          <w:rFonts w:ascii="Times New Roman" w:hAnsi="Times New Roman"/>
          <w:sz w:val="26"/>
          <w:szCs w:val="26"/>
        </w:rPr>
        <w:t>н</w:t>
      </w:r>
      <w:r w:rsidRPr="006335F8">
        <w:rPr>
          <w:rFonts w:ascii="Times New Roman" w:hAnsi="Times New Roman"/>
          <w:sz w:val="26"/>
          <w:szCs w:val="26"/>
        </w:rPr>
        <w:t>ачение, равно как и визуальный анализ кривой Лоренца, свидетельствуют о высокой степени неравенства  между регионами по данноу показателю. Особенно заметно выделяется из общего ряда регионов город Москва (крайний справа реги</w:t>
      </w:r>
      <w:r w:rsidR="00C366A6" w:rsidRPr="006335F8">
        <w:rPr>
          <w:rFonts w:ascii="Times New Roman" w:hAnsi="Times New Roman"/>
          <w:sz w:val="26"/>
          <w:szCs w:val="26"/>
        </w:rPr>
        <w:t>о</w:t>
      </w:r>
      <w:r w:rsidRPr="006335F8">
        <w:rPr>
          <w:rFonts w:ascii="Times New Roman" w:hAnsi="Times New Roman"/>
          <w:sz w:val="26"/>
          <w:szCs w:val="26"/>
        </w:rPr>
        <w:t xml:space="preserve">н на рисунке): на долю москвы приходится </w:t>
      </w:r>
      <w:r w:rsidR="00C366A6" w:rsidRPr="006335F8">
        <w:rPr>
          <w:rFonts w:ascii="Times New Roman" w:hAnsi="Times New Roman"/>
          <w:sz w:val="26"/>
          <w:szCs w:val="26"/>
        </w:rPr>
        <w:t xml:space="preserve"> 8% населения Рос</w:t>
      </w:r>
      <w:r w:rsidRPr="006335F8">
        <w:rPr>
          <w:rFonts w:ascii="Times New Roman" w:hAnsi="Times New Roman"/>
          <w:sz w:val="26"/>
          <w:szCs w:val="26"/>
        </w:rPr>
        <w:t>си  и 54% общего объема расходов консолидированных бюджетов регионов на социальное обслуживание населения</w:t>
      </w:r>
      <w:r w:rsidR="00C366A6" w:rsidRPr="006335F8">
        <w:rPr>
          <w:rFonts w:ascii="Times New Roman" w:hAnsi="Times New Roman"/>
          <w:sz w:val="26"/>
          <w:szCs w:val="26"/>
        </w:rPr>
        <w:t>, что свидетельствует о крайне высокой степени неравентса в распределении этого вида доходов между населениемрегионов.</w:t>
      </w:r>
      <w:r w:rsidRPr="006335F8">
        <w:rPr>
          <w:rFonts w:ascii="Times New Roman" w:hAnsi="Times New Roman"/>
          <w:sz w:val="26"/>
          <w:szCs w:val="26"/>
        </w:rPr>
        <w:t xml:space="preserve"> </w:t>
      </w:r>
    </w:p>
    <w:p w:rsidR="00167C7F" w:rsidRPr="006335F8" w:rsidRDefault="00167C7F" w:rsidP="006335F8">
      <w:pPr>
        <w:pStyle w:val="ac"/>
        <w:spacing w:after="0"/>
        <w:rPr>
          <w:rFonts w:ascii="Times New Roman" w:hAnsi="Times New Roman"/>
          <w:sz w:val="26"/>
          <w:szCs w:val="26"/>
        </w:rPr>
      </w:pPr>
    </w:p>
    <w:p w:rsidR="008C1D87" w:rsidRPr="008846C1" w:rsidRDefault="008C1D87" w:rsidP="00456979">
      <w:pPr>
        <w:pStyle w:val="1"/>
        <w:rPr>
          <w:i/>
          <w:sz w:val="26"/>
          <w:szCs w:val="26"/>
        </w:rPr>
      </w:pPr>
      <w:bookmarkStart w:id="4" w:name="_Toc383442169"/>
      <w:r w:rsidRPr="008846C1">
        <w:rPr>
          <w:i/>
          <w:sz w:val="26"/>
          <w:szCs w:val="26"/>
        </w:rPr>
        <w:t>Сравнительны</w:t>
      </w:r>
      <w:r w:rsidR="0094157E">
        <w:rPr>
          <w:i/>
          <w:sz w:val="26"/>
          <w:szCs w:val="26"/>
        </w:rPr>
        <w:t>й</w:t>
      </w:r>
      <w:r w:rsidRPr="008846C1">
        <w:rPr>
          <w:i/>
          <w:sz w:val="26"/>
          <w:szCs w:val="26"/>
        </w:rPr>
        <w:t xml:space="preserve"> анализ доступности услуг социальной защиты по регионам</w:t>
      </w:r>
      <w:bookmarkEnd w:id="4"/>
    </w:p>
    <w:p w:rsidR="004F13E0" w:rsidRDefault="004F13E0" w:rsidP="005007A7">
      <w:pPr>
        <w:pStyle w:val="ac"/>
        <w:spacing w:after="0"/>
        <w:ind w:firstLine="567"/>
        <w:rPr>
          <w:rFonts w:ascii="Times New Roman" w:hAnsi="Times New Roman"/>
          <w:sz w:val="26"/>
          <w:szCs w:val="26"/>
        </w:rPr>
      </w:pPr>
      <w:r w:rsidRPr="008846C1">
        <w:rPr>
          <w:rFonts w:ascii="Times New Roman" w:hAnsi="Times New Roman"/>
          <w:sz w:val="26"/>
          <w:szCs w:val="26"/>
        </w:rPr>
        <w:t>Показатель доступности услуг со</w:t>
      </w:r>
      <w:r w:rsidR="00A31818">
        <w:rPr>
          <w:rFonts w:ascii="Times New Roman" w:hAnsi="Times New Roman"/>
          <w:sz w:val="26"/>
          <w:szCs w:val="26"/>
        </w:rPr>
        <w:t>ц</w:t>
      </w:r>
      <w:r w:rsidRPr="008846C1">
        <w:rPr>
          <w:rFonts w:ascii="Times New Roman" w:hAnsi="Times New Roman"/>
          <w:sz w:val="26"/>
          <w:szCs w:val="26"/>
        </w:rPr>
        <w:t>иальной защиты</w:t>
      </w:r>
      <w:r w:rsidR="0094157E">
        <w:rPr>
          <w:rFonts w:ascii="Times New Roman" w:hAnsi="Times New Roman"/>
          <w:sz w:val="26"/>
          <w:szCs w:val="26"/>
        </w:rPr>
        <w:t xml:space="preserve"> </w:t>
      </w:r>
      <w:r w:rsidRPr="008846C1">
        <w:rPr>
          <w:rFonts w:ascii="Times New Roman" w:hAnsi="Times New Roman"/>
          <w:sz w:val="26"/>
          <w:szCs w:val="26"/>
        </w:rPr>
        <w:t xml:space="preserve">для населения был </w:t>
      </w:r>
      <w:r w:rsidRPr="004F13E0">
        <w:rPr>
          <w:rFonts w:ascii="Times New Roman" w:hAnsi="Times New Roman"/>
          <w:sz w:val="26"/>
          <w:szCs w:val="26"/>
        </w:rPr>
        <w:t xml:space="preserve">рассчитан </w:t>
      </w:r>
      <w:r>
        <w:rPr>
          <w:rFonts w:ascii="Times New Roman" w:hAnsi="Times New Roman"/>
          <w:sz w:val="26"/>
          <w:szCs w:val="26"/>
        </w:rPr>
        <w:t>следующим методом:</w:t>
      </w:r>
    </w:p>
    <w:p w:rsidR="004F13E0" w:rsidRDefault="004F13E0" w:rsidP="0094157E">
      <w:pPr>
        <w:pStyle w:val="ac"/>
        <w:numPr>
          <w:ilvl w:val="0"/>
          <w:numId w:val="16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каждому региону</w:t>
      </w:r>
      <w:r w:rsidR="008846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были просуммированы д</w:t>
      </w:r>
      <w:r w:rsidR="008846C1">
        <w:rPr>
          <w:rFonts w:ascii="Times New Roman" w:hAnsi="Times New Roman"/>
          <w:sz w:val="26"/>
          <w:szCs w:val="26"/>
        </w:rPr>
        <w:t>анные Росс</w:t>
      </w:r>
      <w:r>
        <w:rPr>
          <w:rFonts w:ascii="Times New Roman" w:hAnsi="Times New Roman"/>
          <w:sz w:val="26"/>
          <w:szCs w:val="26"/>
        </w:rPr>
        <w:t>тата о числ</w:t>
      </w:r>
      <w:r w:rsidR="008846C1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нности клиентов, получивших социальные услуги в соответствующем регион</w:t>
      </w:r>
      <w:r w:rsidR="008846C1">
        <w:rPr>
          <w:rFonts w:ascii="Times New Roman" w:hAnsi="Times New Roman"/>
          <w:sz w:val="26"/>
          <w:szCs w:val="26"/>
        </w:rPr>
        <w:t>е</w:t>
      </w:r>
      <w:r w:rsidR="0094157E">
        <w:rPr>
          <w:rFonts w:ascii="Times New Roman" w:hAnsi="Times New Roman"/>
          <w:sz w:val="26"/>
          <w:szCs w:val="26"/>
        </w:rPr>
        <w:t xml:space="preserve"> в 2010 году</w:t>
      </w:r>
      <w:r>
        <w:rPr>
          <w:rFonts w:ascii="Times New Roman" w:hAnsi="Times New Roman"/>
          <w:sz w:val="26"/>
          <w:szCs w:val="26"/>
        </w:rPr>
        <w:t>, по видам услуг. Росс</w:t>
      </w:r>
      <w:r w:rsidR="008846C1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ат публикует соответствующие о</w:t>
      </w:r>
      <w:r w:rsidR="008846C1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четные данные </w:t>
      </w:r>
      <w:r w:rsidR="008846C1">
        <w:rPr>
          <w:rFonts w:ascii="Times New Roman" w:hAnsi="Times New Roman"/>
          <w:sz w:val="26"/>
          <w:szCs w:val="26"/>
        </w:rPr>
        <w:t>(</w:t>
      </w:r>
      <w:r w:rsidR="008F67B1">
        <w:rPr>
          <w:rFonts w:ascii="Times New Roman" w:hAnsi="Times New Roman"/>
          <w:sz w:val="26"/>
          <w:szCs w:val="26"/>
        </w:rPr>
        <w:t>число</w:t>
      </w:r>
      <w:r w:rsidR="008846C1">
        <w:rPr>
          <w:rFonts w:ascii="Times New Roman" w:hAnsi="Times New Roman"/>
          <w:sz w:val="26"/>
          <w:szCs w:val="26"/>
        </w:rPr>
        <w:t xml:space="preserve"> обслуженных клиентов) </w:t>
      </w:r>
      <w:r>
        <w:rPr>
          <w:rFonts w:ascii="Times New Roman" w:hAnsi="Times New Roman"/>
          <w:sz w:val="26"/>
          <w:szCs w:val="26"/>
        </w:rPr>
        <w:t>по следующим видам услуг:</w:t>
      </w:r>
    </w:p>
    <w:p w:rsidR="004F13E0" w:rsidRPr="008846C1" w:rsidRDefault="004F13E0" w:rsidP="00084691">
      <w:pPr>
        <w:pStyle w:val="ac"/>
        <w:numPr>
          <w:ilvl w:val="0"/>
          <w:numId w:val="17"/>
        </w:numPr>
        <w:spacing w:before="0" w:after="0"/>
        <w:ind w:left="1417" w:hanging="357"/>
        <w:rPr>
          <w:rFonts w:ascii="Times New Roman" w:hAnsi="Times New Roman"/>
          <w:sz w:val="26"/>
          <w:szCs w:val="26"/>
        </w:rPr>
      </w:pPr>
      <w:r w:rsidRPr="008846C1">
        <w:rPr>
          <w:rFonts w:ascii="Times New Roman" w:hAnsi="Times New Roman"/>
          <w:sz w:val="26"/>
          <w:szCs w:val="26"/>
        </w:rPr>
        <w:t>Центр социальной помощи семье и детям</w:t>
      </w:r>
      <w:r w:rsidR="008846C1" w:rsidRPr="008846C1">
        <w:rPr>
          <w:rFonts w:ascii="Times New Roman" w:hAnsi="Times New Roman"/>
          <w:sz w:val="26"/>
          <w:szCs w:val="26"/>
        </w:rPr>
        <w:t>;</w:t>
      </w:r>
    </w:p>
    <w:p w:rsidR="004F13E0" w:rsidRPr="008846C1" w:rsidRDefault="004F13E0" w:rsidP="00084691">
      <w:pPr>
        <w:pStyle w:val="ac"/>
        <w:numPr>
          <w:ilvl w:val="0"/>
          <w:numId w:val="17"/>
        </w:numPr>
        <w:spacing w:before="0" w:after="0"/>
        <w:ind w:left="1417" w:hanging="357"/>
        <w:rPr>
          <w:rFonts w:ascii="Times New Roman" w:hAnsi="Times New Roman"/>
          <w:sz w:val="26"/>
          <w:szCs w:val="26"/>
        </w:rPr>
      </w:pPr>
      <w:r w:rsidRPr="008846C1">
        <w:rPr>
          <w:rFonts w:ascii="Times New Roman" w:hAnsi="Times New Roman"/>
          <w:sz w:val="26"/>
          <w:szCs w:val="26"/>
        </w:rPr>
        <w:t xml:space="preserve">Центр </w:t>
      </w:r>
      <w:r w:rsidR="008F67B1" w:rsidRPr="008846C1">
        <w:rPr>
          <w:rFonts w:ascii="Times New Roman" w:hAnsi="Times New Roman"/>
          <w:sz w:val="26"/>
          <w:szCs w:val="26"/>
        </w:rPr>
        <w:t>экстренной</w:t>
      </w:r>
      <w:r w:rsidRPr="008846C1">
        <w:rPr>
          <w:rFonts w:ascii="Times New Roman" w:hAnsi="Times New Roman"/>
          <w:sz w:val="26"/>
          <w:szCs w:val="26"/>
        </w:rPr>
        <w:t xml:space="preserve"> психологической помощи по телефону</w:t>
      </w:r>
      <w:r w:rsidR="008846C1" w:rsidRPr="008846C1">
        <w:rPr>
          <w:rFonts w:ascii="Times New Roman" w:hAnsi="Times New Roman"/>
          <w:sz w:val="26"/>
          <w:szCs w:val="26"/>
        </w:rPr>
        <w:t>;</w:t>
      </w:r>
    </w:p>
    <w:p w:rsidR="004F13E0" w:rsidRPr="008846C1" w:rsidRDefault="008846C1" w:rsidP="00084691">
      <w:pPr>
        <w:pStyle w:val="ac"/>
        <w:numPr>
          <w:ilvl w:val="0"/>
          <w:numId w:val="17"/>
        </w:numPr>
        <w:spacing w:before="0" w:after="0"/>
        <w:ind w:left="1417" w:hanging="357"/>
        <w:rPr>
          <w:rFonts w:ascii="Times New Roman" w:hAnsi="Times New Roman"/>
          <w:sz w:val="26"/>
          <w:szCs w:val="26"/>
        </w:rPr>
      </w:pPr>
      <w:r w:rsidRPr="008846C1">
        <w:rPr>
          <w:rFonts w:ascii="Times New Roman" w:hAnsi="Times New Roman"/>
          <w:sz w:val="26"/>
          <w:szCs w:val="26"/>
        </w:rPr>
        <w:t>Центр психолого-педагогической помощи населению;</w:t>
      </w:r>
    </w:p>
    <w:p w:rsidR="008846C1" w:rsidRPr="008846C1" w:rsidRDefault="008846C1" w:rsidP="00084691">
      <w:pPr>
        <w:pStyle w:val="ac"/>
        <w:numPr>
          <w:ilvl w:val="0"/>
          <w:numId w:val="17"/>
        </w:numPr>
        <w:spacing w:before="0" w:after="0"/>
        <w:ind w:left="1417" w:hanging="357"/>
        <w:rPr>
          <w:rFonts w:ascii="Times New Roman" w:hAnsi="Times New Roman"/>
          <w:sz w:val="26"/>
          <w:szCs w:val="26"/>
        </w:rPr>
      </w:pPr>
      <w:r w:rsidRPr="008846C1">
        <w:rPr>
          <w:rFonts w:ascii="Times New Roman" w:hAnsi="Times New Roman"/>
          <w:sz w:val="26"/>
          <w:szCs w:val="26"/>
        </w:rPr>
        <w:t>Социально-реабилитационный центр для несовершеннолетних;</w:t>
      </w:r>
    </w:p>
    <w:p w:rsidR="008846C1" w:rsidRPr="008846C1" w:rsidRDefault="008846C1" w:rsidP="00084691">
      <w:pPr>
        <w:pStyle w:val="ac"/>
        <w:numPr>
          <w:ilvl w:val="0"/>
          <w:numId w:val="17"/>
        </w:numPr>
        <w:spacing w:before="0" w:after="0"/>
        <w:ind w:left="1417" w:hanging="357"/>
        <w:rPr>
          <w:rFonts w:ascii="Times New Roman" w:hAnsi="Times New Roman"/>
          <w:sz w:val="26"/>
          <w:szCs w:val="26"/>
        </w:rPr>
      </w:pPr>
      <w:r w:rsidRPr="008846C1">
        <w:rPr>
          <w:rFonts w:ascii="Times New Roman" w:hAnsi="Times New Roman"/>
          <w:sz w:val="26"/>
          <w:szCs w:val="26"/>
        </w:rPr>
        <w:t>Социальный приют для детей;</w:t>
      </w:r>
    </w:p>
    <w:p w:rsidR="008846C1" w:rsidRPr="008846C1" w:rsidRDefault="008846C1" w:rsidP="00084691">
      <w:pPr>
        <w:pStyle w:val="ac"/>
        <w:numPr>
          <w:ilvl w:val="0"/>
          <w:numId w:val="17"/>
        </w:numPr>
        <w:spacing w:before="0" w:after="0"/>
        <w:ind w:left="1417" w:hanging="357"/>
        <w:rPr>
          <w:rFonts w:ascii="Times New Roman" w:hAnsi="Times New Roman"/>
          <w:sz w:val="26"/>
          <w:szCs w:val="26"/>
        </w:rPr>
      </w:pPr>
      <w:r w:rsidRPr="008846C1">
        <w:rPr>
          <w:rFonts w:ascii="Times New Roman" w:hAnsi="Times New Roman"/>
          <w:sz w:val="26"/>
          <w:szCs w:val="26"/>
        </w:rPr>
        <w:t>Центр помощи детям, оставшимся без попечения родителей;</w:t>
      </w:r>
    </w:p>
    <w:p w:rsidR="008846C1" w:rsidRPr="008846C1" w:rsidRDefault="008846C1" w:rsidP="00084691">
      <w:pPr>
        <w:pStyle w:val="ac"/>
        <w:numPr>
          <w:ilvl w:val="0"/>
          <w:numId w:val="17"/>
        </w:numPr>
        <w:spacing w:before="0" w:after="0"/>
        <w:ind w:left="1417" w:hanging="357"/>
        <w:rPr>
          <w:rFonts w:ascii="Times New Roman" w:hAnsi="Times New Roman"/>
          <w:sz w:val="26"/>
          <w:szCs w:val="26"/>
        </w:rPr>
      </w:pPr>
      <w:r w:rsidRPr="008846C1">
        <w:rPr>
          <w:rFonts w:ascii="Times New Roman" w:hAnsi="Times New Roman"/>
          <w:sz w:val="26"/>
          <w:szCs w:val="26"/>
        </w:rPr>
        <w:t>Реабилитационный центр для детей и подростков с ограниченными возможностями;</w:t>
      </w:r>
    </w:p>
    <w:p w:rsidR="008846C1" w:rsidRPr="008846C1" w:rsidRDefault="008846C1" w:rsidP="00084691">
      <w:pPr>
        <w:pStyle w:val="ac"/>
        <w:numPr>
          <w:ilvl w:val="0"/>
          <w:numId w:val="17"/>
        </w:numPr>
        <w:spacing w:before="0" w:after="0"/>
        <w:ind w:left="1417" w:hanging="357"/>
        <w:rPr>
          <w:rFonts w:ascii="Times New Roman" w:hAnsi="Times New Roman"/>
          <w:sz w:val="26"/>
          <w:szCs w:val="26"/>
        </w:rPr>
      </w:pPr>
      <w:r w:rsidRPr="008846C1">
        <w:rPr>
          <w:rFonts w:ascii="Times New Roman" w:hAnsi="Times New Roman"/>
          <w:sz w:val="26"/>
          <w:szCs w:val="26"/>
        </w:rPr>
        <w:t>Центр социального обслуживания населения;</w:t>
      </w:r>
    </w:p>
    <w:p w:rsidR="008846C1" w:rsidRPr="008846C1" w:rsidRDefault="008846C1" w:rsidP="00084691">
      <w:pPr>
        <w:pStyle w:val="ac"/>
        <w:numPr>
          <w:ilvl w:val="0"/>
          <w:numId w:val="17"/>
        </w:numPr>
        <w:spacing w:before="0" w:after="0"/>
        <w:ind w:left="1417" w:hanging="357"/>
        <w:rPr>
          <w:rFonts w:ascii="Times New Roman" w:hAnsi="Times New Roman"/>
          <w:sz w:val="26"/>
          <w:szCs w:val="26"/>
        </w:rPr>
      </w:pPr>
      <w:r w:rsidRPr="008846C1">
        <w:rPr>
          <w:rFonts w:ascii="Times New Roman" w:hAnsi="Times New Roman"/>
          <w:sz w:val="26"/>
          <w:szCs w:val="26"/>
        </w:rPr>
        <w:t xml:space="preserve">Комплексный центр социального обслуживания населения; </w:t>
      </w:r>
    </w:p>
    <w:p w:rsidR="008846C1" w:rsidRPr="008846C1" w:rsidRDefault="008846C1" w:rsidP="00084691">
      <w:pPr>
        <w:pStyle w:val="ac"/>
        <w:numPr>
          <w:ilvl w:val="0"/>
          <w:numId w:val="17"/>
        </w:numPr>
        <w:spacing w:before="0" w:after="0"/>
        <w:ind w:left="1417" w:hanging="357"/>
        <w:rPr>
          <w:rFonts w:ascii="Times New Roman" w:hAnsi="Times New Roman"/>
          <w:sz w:val="26"/>
          <w:szCs w:val="26"/>
        </w:rPr>
      </w:pPr>
      <w:r w:rsidRPr="008846C1">
        <w:rPr>
          <w:rFonts w:ascii="Times New Roman" w:hAnsi="Times New Roman"/>
          <w:sz w:val="26"/>
          <w:szCs w:val="26"/>
        </w:rPr>
        <w:lastRenderedPageBreak/>
        <w:t xml:space="preserve">Кризисный центр для мужчин; </w:t>
      </w:r>
    </w:p>
    <w:p w:rsidR="008846C1" w:rsidRPr="008846C1" w:rsidRDefault="008846C1" w:rsidP="00084691">
      <w:pPr>
        <w:pStyle w:val="ac"/>
        <w:numPr>
          <w:ilvl w:val="0"/>
          <w:numId w:val="17"/>
        </w:numPr>
        <w:spacing w:before="0" w:after="0"/>
        <w:ind w:left="1417" w:hanging="357"/>
        <w:rPr>
          <w:rFonts w:ascii="Times New Roman" w:hAnsi="Times New Roman"/>
          <w:sz w:val="26"/>
          <w:szCs w:val="26"/>
        </w:rPr>
      </w:pPr>
      <w:r w:rsidRPr="008846C1">
        <w:rPr>
          <w:rFonts w:ascii="Times New Roman" w:hAnsi="Times New Roman"/>
          <w:sz w:val="26"/>
          <w:szCs w:val="26"/>
        </w:rPr>
        <w:t>Кризисный центр для женщин;</w:t>
      </w:r>
    </w:p>
    <w:p w:rsidR="008846C1" w:rsidRPr="008846C1" w:rsidRDefault="008846C1" w:rsidP="00084691">
      <w:pPr>
        <w:pStyle w:val="ac"/>
        <w:numPr>
          <w:ilvl w:val="0"/>
          <w:numId w:val="17"/>
        </w:numPr>
        <w:spacing w:before="0" w:after="0"/>
        <w:ind w:left="1417" w:hanging="357"/>
        <w:rPr>
          <w:rFonts w:ascii="Times New Roman" w:hAnsi="Times New Roman"/>
          <w:sz w:val="26"/>
          <w:szCs w:val="26"/>
        </w:rPr>
      </w:pPr>
      <w:r w:rsidRPr="008846C1">
        <w:rPr>
          <w:rFonts w:ascii="Times New Roman" w:hAnsi="Times New Roman"/>
          <w:sz w:val="26"/>
          <w:szCs w:val="26"/>
        </w:rPr>
        <w:t>Другие учреждения социального обслуживания.</w:t>
      </w:r>
    </w:p>
    <w:p w:rsidR="008846C1" w:rsidRPr="008846C1" w:rsidRDefault="008846C1" w:rsidP="0094157E">
      <w:pPr>
        <w:pStyle w:val="ac"/>
        <w:numPr>
          <w:ilvl w:val="0"/>
          <w:numId w:val="16"/>
        </w:numPr>
        <w:spacing w:after="0"/>
        <w:rPr>
          <w:rFonts w:ascii="Times New Roman" w:hAnsi="Times New Roman"/>
          <w:sz w:val="26"/>
          <w:szCs w:val="26"/>
        </w:rPr>
      </w:pPr>
      <w:r w:rsidRPr="008846C1">
        <w:rPr>
          <w:rFonts w:ascii="Times New Roman" w:hAnsi="Times New Roman"/>
          <w:sz w:val="26"/>
          <w:szCs w:val="26"/>
        </w:rPr>
        <w:t xml:space="preserve">Полученная сумма </w:t>
      </w:r>
      <w:r w:rsidR="008F67B1" w:rsidRPr="008846C1">
        <w:rPr>
          <w:rFonts w:ascii="Times New Roman" w:hAnsi="Times New Roman"/>
          <w:sz w:val="26"/>
          <w:szCs w:val="26"/>
        </w:rPr>
        <w:t>(</w:t>
      </w:r>
      <w:r w:rsidRPr="008846C1">
        <w:rPr>
          <w:rFonts w:ascii="Times New Roman" w:hAnsi="Times New Roman"/>
          <w:sz w:val="26"/>
          <w:szCs w:val="26"/>
        </w:rPr>
        <w:t>общее число обслуженных кл</w:t>
      </w:r>
      <w:r w:rsidR="00084691">
        <w:rPr>
          <w:rFonts w:ascii="Times New Roman" w:hAnsi="Times New Roman"/>
          <w:sz w:val="26"/>
          <w:szCs w:val="26"/>
        </w:rPr>
        <w:t>иентов)  была соотнесена с общей численностью населения.</w:t>
      </w:r>
      <w:r w:rsidRPr="008846C1">
        <w:rPr>
          <w:rFonts w:ascii="Times New Roman" w:hAnsi="Times New Roman"/>
          <w:sz w:val="26"/>
          <w:szCs w:val="26"/>
        </w:rPr>
        <w:t xml:space="preserve"> Получившийся показатель – доля жителей, получивших социальные услуги, была использована в качестве показателя доступности с</w:t>
      </w:r>
      <w:r w:rsidR="00084691">
        <w:rPr>
          <w:rFonts w:ascii="Times New Roman" w:hAnsi="Times New Roman"/>
          <w:sz w:val="26"/>
          <w:szCs w:val="26"/>
        </w:rPr>
        <w:t>о</w:t>
      </w:r>
      <w:r w:rsidRPr="008846C1">
        <w:rPr>
          <w:rFonts w:ascii="Times New Roman" w:hAnsi="Times New Roman"/>
          <w:sz w:val="26"/>
          <w:szCs w:val="26"/>
        </w:rPr>
        <w:t>циальных услуг.</w:t>
      </w:r>
    </w:p>
    <w:p w:rsidR="008846C1" w:rsidRPr="008846C1" w:rsidRDefault="008846C1" w:rsidP="008846C1">
      <w:pPr>
        <w:pStyle w:val="ac"/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8846C1" w:rsidRDefault="008846C1" w:rsidP="008846C1">
      <w:pPr>
        <w:pStyle w:val="ac"/>
        <w:spacing w:after="0"/>
        <w:ind w:firstLine="0"/>
        <w:rPr>
          <w:rFonts w:ascii="Times New Roman" w:hAnsi="Times New Roman"/>
          <w:sz w:val="26"/>
          <w:szCs w:val="26"/>
        </w:rPr>
      </w:pPr>
      <w:r w:rsidRPr="008846C1">
        <w:rPr>
          <w:rFonts w:ascii="Times New Roman" w:hAnsi="Times New Roman"/>
          <w:sz w:val="26"/>
          <w:szCs w:val="26"/>
        </w:rPr>
        <w:t>Сравнение регионов по данному п</w:t>
      </w:r>
      <w:r w:rsidR="0094157E">
        <w:rPr>
          <w:rFonts w:ascii="Times New Roman" w:hAnsi="Times New Roman"/>
          <w:sz w:val="26"/>
          <w:szCs w:val="26"/>
        </w:rPr>
        <w:t>о</w:t>
      </w:r>
      <w:r w:rsidR="00A31818">
        <w:rPr>
          <w:rFonts w:ascii="Times New Roman" w:hAnsi="Times New Roman"/>
          <w:sz w:val="26"/>
          <w:szCs w:val="26"/>
        </w:rPr>
        <w:t>к</w:t>
      </w:r>
      <w:r w:rsidR="0094157E">
        <w:rPr>
          <w:rFonts w:ascii="Times New Roman" w:hAnsi="Times New Roman"/>
          <w:sz w:val="26"/>
          <w:szCs w:val="26"/>
        </w:rPr>
        <w:t xml:space="preserve">азателю </w:t>
      </w:r>
      <w:r w:rsidR="00614980">
        <w:rPr>
          <w:rFonts w:ascii="Times New Roman" w:hAnsi="Times New Roman"/>
          <w:sz w:val="26"/>
          <w:szCs w:val="26"/>
        </w:rPr>
        <w:t>дает</w:t>
      </w:r>
      <w:r w:rsidR="0094157E">
        <w:rPr>
          <w:rFonts w:ascii="Times New Roman" w:hAnsi="Times New Roman"/>
          <w:sz w:val="26"/>
          <w:szCs w:val="26"/>
        </w:rPr>
        <w:t xml:space="preserve"> следующую картину.</w:t>
      </w:r>
    </w:p>
    <w:p w:rsidR="005007A7" w:rsidRDefault="005007A7" w:rsidP="008846C1">
      <w:pPr>
        <w:pStyle w:val="ac"/>
        <w:spacing w:after="0"/>
        <w:ind w:firstLine="0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007A7" w:rsidTr="005007A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007A7" w:rsidRPr="005007A7" w:rsidRDefault="005007A7" w:rsidP="007F3157">
            <w:pPr>
              <w:pStyle w:val="ac"/>
              <w:spacing w:after="0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7A7">
              <w:rPr>
                <w:rFonts w:asciiTheme="minorHAnsi" w:hAnsiTheme="minorHAnsi"/>
                <w:b/>
                <w:sz w:val="20"/>
                <w:szCs w:val="20"/>
              </w:rPr>
              <w:t xml:space="preserve">Сравнение регионов по показателю доступности услуг социальной защиты населения: отношение числа клиентов, получивших социальные услуги, к общей численности жителей </w:t>
            </w:r>
            <w:r w:rsidR="007F3157">
              <w:rPr>
                <w:rFonts w:asciiTheme="minorHAnsi" w:hAnsiTheme="minorHAnsi"/>
                <w:b/>
                <w:sz w:val="20"/>
                <w:szCs w:val="20"/>
              </w:rPr>
              <w:t>региона</w:t>
            </w:r>
            <w:r w:rsidRPr="005007A7">
              <w:rPr>
                <w:rFonts w:asciiTheme="minorHAnsi" w:hAnsiTheme="minorHAnsi"/>
                <w:b/>
                <w:sz w:val="20"/>
                <w:szCs w:val="20"/>
              </w:rPr>
              <w:t>, 2012</w:t>
            </w:r>
          </w:p>
        </w:tc>
      </w:tr>
    </w:tbl>
    <w:p w:rsidR="0094157E" w:rsidRDefault="0094157E" w:rsidP="008846C1">
      <w:pPr>
        <w:pStyle w:val="ac"/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94157E" w:rsidRPr="008846C1" w:rsidRDefault="0094157E" w:rsidP="008846C1">
      <w:pPr>
        <w:pStyle w:val="ac"/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6E3A7A40" wp14:editId="5470D539">
            <wp:extent cx="5940425" cy="4930097"/>
            <wp:effectExtent l="0" t="0" r="22225" b="2349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D7F59" w:rsidRPr="0094157E" w:rsidRDefault="007D7F59" w:rsidP="00A40D6C">
      <w:pPr>
        <w:pStyle w:val="ac"/>
        <w:spacing w:after="0"/>
        <w:rPr>
          <w:rFonts w:ascii="Times New Roman" w:hAnsi="Times New Roman"/>
          <w:sz w:val="26"/>
          <w:szCs w:val="26"/>
        </w:rPr>
      </w:pPr>
    </w:p>
    <w:p w:rsidR="0094157E" w:rsidRDefault="008F67B1" w:rsidP="00A40D6C">
      <w:pPr>
        <w:pStyle w:val="ac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Даже если отбросить два крайних слева региона, в которых число клиентов, получивших услуги социальной защиты, было равно нулю – Ненецкий автономный округ, в котором отсутствуют учреждения социального обслуживания населения, и Республику Ингушетия, не предоставившей данные о численности обслуженных клиентов в Росстат, разрыв между доступностью услуг социальной защиты между </w:t>
      </w:r>
      <w:r>
        <w:rPr>
          <w:rFonts w:ascii="Times New Roman" w:hAnsi="Times New Roman"/>
          <w:sz w:val="26"/>
          <w:szCs w:val="26"/>
        </w:rPr>
        <w:lastRenderedPageBreak/>
        <w:t xml:space="preserve">регионами получается слишком большим, чтобы этот показатель мог иметь какое-либо содержательное значение: в 1757 </w:t>
      </w:r>
      <w:r w:rsidR="0094157E">
        <w:rPr>
          <w:rFonts w:ascii="Times New Roman" w:hAnsi="Times New Roman"/>
          <w:sz w:val="26"/>
          <w:szCs w:val="26"/>
        </w:rPr>
        <w:t>раз. Такой ра</w:t>
      </w:r>
      <w:r w:rsidR="00084691">
        <w:rPr>
          <w:rFonts w:ascii="Times New Roman" w:hAnsi="Times New Roman"/>
          <w:sz w:val="26"/>
          <w:szCs w:val="26"/>
        </w:rPr>
        <w:t xml:space="preserve">зброс можно объяснить только разницей  в </w:t>
      </w:r>
      <w:r>
        <w:rPr>
          <w:rFonts w:ascii="Times New Roman" w:hAnsi="Times New Roman"/>
          <w:sz w:val="26"/>
          <w:szCs w:val="26"/>
        </w:rPr>
        <w:t>используемой</w:t>
      </w:r>
      <w:r w:rsidR="00084691">
        <w:rPr>
          <w:rFonts w:ascii="Times New Roman" w:hAnsi="Times New Roman"/>
          <w:sz w:val="26"/>
          <w:szCs w:val="26"/>
        </w:rPr>
        <w:t xml:space="preserve"> регионами методологии определения числа обслуженных клиентов. </w:t>
      </w:r>
      <w:r>
        <w:rPr>
          <w:rFonts w:ascii="Times New Roman" w:hAnsi="Times New Roman"/>
          <w:sz w:val="26"/>
          <w:szCs w:val="26"/>
        </w:rPr>
        <w:t>Этот вывод косвенно подтверждается тем, что многие высокообеспеченные регионы оказались среди «отстающих» по числу обслуженных клиентов, а среди лидеров по этому показателю есть регионы, не отличающиеся высокой бюджетной обеспеченностью (Республика Марий Эл, Республика Коми).</w:t>
      </w:r>
    </w:p>
    <w:p w:rsidR="00084691" w:rsidRPr="00456979" w:rsidRDefault="00084691" w:rsidP="00456979">
      <w:pPr>
        <w:pStyle w:val="1"/>
        <w:rPr>
          <w:i/>
          <w:sz w:val="26"/>
          <w:szCs w:val="26"/>
          <w:lang w:val="ru-RU"/>
        </w:rPr>
      </w:pPr>
      <w:bookmarkStart w:id="5" w:name="_Toc383442170"/>
      <w:r w:rsidRPr="00084691">
        <w:rPr>
          <w:i/>
          <w:sz w:val="26"/>
          <w:szCs w:val="26"/>
        </w:rPr>
        <w:t xml:space="preserve">Проблемы методологии </w:t>
      </w:r>
      <w:r w:rsidR="008F67B1" w:rsidRPr="00084691">
        <w:rPr>
          <w:i/>
          <w:sz w:val="26"/>
          <w:szCs w:val="26"/>
        </w:rPr>
        <w:t>измерения</w:t>
      </w:r>
      <w:r w:rsidRPr="00084691">
        <w:rPr>
          <w:i/>
          <w:sz w:val="26"/>
          <w:szCs w:val="26"/>
        </w:rPr>
        <w:t xml:space="preserve"> объема предоставленных услуг</w:t>
      </w:r>
      <w:r w:rsidR="007F3157">
        <w:rPr>
          <w:i/>
          <w:sz w:val="26"/>
          <w:szCs w:val="26"/>
          <w:lang w:val="ru-RU"/>
        </w:rPr>
        <w:t xml:space="preserve"> </w:t>
      </w:r>
      <w:r w:rsidR="00456979">
        <w:rPr>
          <w:i/>
          <w:sz w:val="26"/>
          <w:szCs w:val="26"/>
          <w:lang w:val="ru-RU"/>
        </w:rPr>
        <w:t>социальной защиты</w:t>
      </w:r>
      <w:bookmarkEnd w:id="5"/>
    </w:p>
    <w:p w:rsidR="00084691" w:rsidRPr="00D51FEF" w:rsidRDefault="00D51FEF" w:rsidP="00F57D3D">
      <w:pPr>
        <w:pStyle w:val="ac"/>
        <w:numPr>
          <w:ilvl w:val="0"/>
          <w:numId w:val="18"/>
        </w:numPr>
        <w:spacing w:after="0"/>
        <w:rPr>
          <w:rFonts w:ascii="Times New Roman" w:hAnsi="Times New Roman"/>
          <w:sz w:val="26"/>
          <w:szCs w:val="26"/>
        </w:rPr>
      </w:pPr>
      <w:r w:rsidRPr="00D51FEF">
        <w:rPr>
          <w:rFonts w:ascii="Times New Roman" w:hAnsi="Times New Roman"/>
          <w:sz w:val="26"/>
          <w:szCs w:val="26"/>
        </w:rPr>
        <w:t xml:space="preserve">Учет предоставленных услуг ведется не по видам услуг, а по видам учреждений, многие из которых предоставляют разные виды услуг, в частности, услуги стационарного содержания и услуги, оказываемые в </w:t>
      </w:r>
      <w:r w:rsidR="008F67B1" w:rsidRPr="00D51FEF">
        <w:rPr>
          <w:rFonts w:ascii="Times New Roman" w:hAnsi="Times New Roman"/>
          <w:sz w:val="26"/>
          <w:szCs w:val="26"/>
        </w:rPr>
        <w:t>амбулаторном</w:t>
      </w:r>
      <w:r w:rsidRPr="00D51FEF">
        <w:rPr>
          <w:rFonts w:ascii="Times New Roman" w:hAnsi="Times New Roman"/>
          <w:sz w:val="26"/>
          <w:szCs w:val="26"/>
        </w:rPr>
        <w:t xml:space="preserve"> режиме  (режиме посещений) или </w:t>
      </w:r>
      <w:r w:rsidR="008F67B1" w:rsidRPr="00D51FEF">
        <w:rPr>
          <w:rFonts w:ascii="Times New Roman" w:hAnsi="Times New Roman"/>
          <w:sz w:val="26"/>
          <w:szCs w:val="26"/>
        </w:rPr>
        <w:t>услуги</w:t>
      </w:r>
      <w:r w:rsidRPr="00D51FEF">
        <w:rPr>
          <w:rFonts w:ascii="Times New Roman" w:hAnsi="Times New Roman"/>
          <w:sz w:val="26"/>
          <w:szCs w:val="26"/>
        </w:rPr>
        <w:t xml:space="preserve"> телефонного консультирования. При этом </w:t>
      </w:r>
      <w:r>
        <w:rPr>
          <w:rFonts w:ascii="Times New Roman" w:hAnsi="Times New Roman"/>
          <w:sz w:val="26"/>
          <w:szCs w:val="26"/>
        </w:rPr>
        <w:t>д</w:t>
      </w:r>
      <w:r w:rsidRPr="00D51FEF">
        <w:rPr>
          <w:rFonts w:ascii="Times New Roman" w:hAnsi="Times New Roman"/>
          <w:sz w:val="26"/>
          <w:szCs w:val="26"/>
        </w:rPr>
        <w:t xml:space="preserve">ля всех видов учреждений используется один </w:t>
      </w:r>
      <w:r>
        <w:rPr>
          <w:rFonts w:ascii="Times New Roman" w:hAnsi="Times New Roman"/>
          <w:sz w:val="26"/>
          <w:szCs w:val="26"/>
        </w:rPr>
        <w:t xml:space="preserve">и тот же </w:t>
      </w:r>
      <w:r w:rsidRPr="00D51FEF">
        <w:rPr>
          <w:rFonts w:ascii="Times New Roman" w:hAnsi="Times New Roman"/>
          <w:sz w:val="26"/>
          <w:szCs w:val="26"/>
        </w:rPr>
        <w:t xml:space="preserve">измеритель объема предоставленных услуг – число </w:t>
      </w:r>
      <w:r w:rsidR="00F57D3D" w:rsidRPr="00D51FEF">
        <w:rPr>
          <w:rFonts w:ascii="Times New Roman" w:hAnsi="Times New Roman"/>
          <w:sz w:val="26"/>
          <w:szCs w:val="26"/>
        </w:rPr>
        <w:t xml:space="preserve">клиентов, получивших услуги. </w:t>
      </w:r>
      <w:r w:rsidR="00802ACE" w:rsidRPr="00D51FEF">
        <w:rPr>
          <w:rFonts w:ascii="Times New Roman" w:hAnsi="Times New Roman"/>
          <w:sz w:val="26"/>
          <w:szCs w:val="26"/>
        </w:rPr>
        <w:t xml:space="preserve"> Для измерения  объема услуг, оказанных стационарными учреждениями, необходимо учитывать не </w:t>
      </w:r>
      <w:r w:rsidR="008F67B1" w:rsidRPr="00D51FEF">
        <w:rPr>
          <w:rFonts w:ascii="Times New Roman" w:hAnsi="Times New Roman"/>
          <w:sz w:val="26"/>
          <w:szCs w:val="26"/>
        </w:rPr>
        <w:t>только</w:t>
      </w:r>
      <w:r w:rsidR="00802ACE" w:rsidRPr="00D51FEF">
        <w:rPr>
          <w:rFonts w:ascii="Times New Roman" w:hAnsi="Times New Roman"/>
          <w:sz w:val="26"/>
          <w:szCs w:val="26"/>
        </w:rPr>
        <w:t xml:space="preserve"> количество </w:t>
      </w:r>
      <w:r w:rsidR="008F67B1" w:rsidRPr="00D51FEF">
        <w:rPr>
          <w:rFonts w:ascii="Times New Roman" w:hAnsi="Times New Roman"/>
          <w:sz w:val="26"/>
          <w:szCs w:val="26"/>
        </w:rPr>
        <w:t>койко-дн</w:t>
      </w:r>
      <w:r w:rsidR="008F67B1">
        <w:rPr>
          <w:rFonts w:ascii="Times New Roman" w:hAnsi="Times New Roman"/>
          <w:sz w:val="26"/>
          <w:szCs w:val="26"/>
        </w:rPr>
        <w:t>ей</w:t>
      </w:r>
      <w:r w:rsidR="00802ACE" w:rsidRPr="00D51FEF">
        <w:rPr>
          <w:rFonts w:ascii="Times New Roman" w:hAnsi="Times New Roman"/>
          <w:sz w:val="26"/>
          <w:szCs w:val="26"/>
        </w:rPr>
        <w:t>, но и численность прошедших через эти учреждения клиентов. Это позволит также определить средний ср</w:t>
      </w:r>
      <w:r w:rsidR="00CD6C2F" w:rsidRPr="00D51FEF">
        <w:rPr>
          <w:rFonts w:ascii="Times New Roman" w:hAnsi="Times New Roman"/>
          <w:sz w:val="26"/>
          <w:szCs w:val="26"/>
        </w:rPr>
        <w:t xml:space="preserve">ок пребывания </w:t>
      </w:r>
      <w:r w:rsidR="008F67B1" w:rsidRPr="00D51FEF">
        <w:rPr>
          <w:rFonts w:ascii="Times New Roman" w:hAnsi="Times New Roman"/>
          <w:sz w:val="26"/>
          <w:szCs w:val="26"/>
        </w:rPr>
        <w:t>клиентов</w:t>
      </w:r>
      <w:r w:rsidR="00CD6C2F" w:rsidRPr="00D51FEF">
        <w:rPr>
          <w:rFonts w:ascii="Times New Roman" w:hAnsi="Times New Roman"/>
          <w:sz w:val="26"/>
          <w:szCs w:val="26"/>
        </w:rPr>
        <w:t xml:space="preserve"> в таких уч</w:t>
      </w:r>
      <w:r w:rsidR="00802ACE" w:rsidRPr="00D51FEF">
        <w:rPr>
          <w:rFonts w:ascii="Times New Roman" w:hAnsi="Times New Roman"/>
          <w:sz w:val="26"/>
          <w:szCs w:val="26"/>
        </w:rPr>
        <w:t xml:space="preserve">реждениях. </w:t>
      </w:r>
      <w:r>
        <w:rPr>
          <w:rFonts w:ascii="Times New Roman" w:hAnsi="Times New Roman"/>
          <w:sz w:val="26"/>
          <w:szCs w:val="26"/>
        </w:rPr>
        <w:t xml:space="preserve"> Для других  видов услуг </w:t>
      </w:r>
      <w:r w:rsidR="008F67B1">
        <w:rPr>
          <w:rFonts w:ascii="Times New Roman" w:hAnsi="Times New Roman"/>
          <w:sz w:val="26"/>
          <w:szCs w:val="26"/>
        </w:rPr>
        <w:t>измерителем</w:t>
      </w:r>
      <w:r>
        <w:rPr>
          <w:rFonts w:ascii="Times New Roman" w:hAnsi="Times New Roman"/>
          <w:sz w:val="26"/>
          <w:szCs w:val="26"/>
        </w:rPr>
        <w:t xml:space="preserve"> объема может быть число посещений или количество телефонных обращений</w:t>
      </w:r>
      <w:r w:rsidR="00F63A09">
        <w:rPr>
          <w:rFonts w:ascii="Times New Roman" w:hAnsi="Times New Roman"/>
          <w:sz w:val="26"/>
          <w:szCs w:val="26"/>
        </w:rPr>
        <w:t xml:space="preserve">. По аналогии  с бюджетным учетом  в сфере </w:t>
      </w:r>
      <w:r w:rsidR="008F67B1">
        <w:rPr>
          <w:rFonts w:ascii="Times New Roman" w:hAnsi="Times New Roman"/>
          <w:sz w:val="26"/>
          <w:szCs w:val="26"/>
        </w:rPr>
        <w:t>здравоохранения</w:t>
      </w:r>
      <w:r w:rsidR="00F63A09">
        <w:rPr>
          <w:rFonts w:ascii="Times New Roman" w:hAnsi="Times New Roman"/>
          <w:sz w:val="26"/>
          <w:szCs w:val="26"/>
        </w:rPr>
        <w:t xml:space="preserve">, где весь объем растрат по функциональной статье расходов 07- «Здравоохранение» делится по </w:t>
      </w:r>
      <w:r w:rsidR="008F67B1">
        <w:rPr>
          <w:rFonts w:ascii="Times New Roman" w:hAnsi="Times New Roman"/>
          <w:sz w:val="26"/>
          <w:szCs w:val="26"/>
        </w:rPr>
        <w:t>видам</w:t>
      </w:r>
      <w:r w:rsidR="00F63A09">
        <w:rPr>
          <w:rFonts w:ascii="Times New Roman" w:hAnsi="Times New Roman"/>
          <w:sz w:val="26"/>
          <w:szCs w:val="26"/>
        </w:rPr>
        <w:t xml:space="preserve"> медицинской помощи, для учета бюджетных расходов и оценки эффективности </w:t>
      </w:r>
      <w:r w:rsidR="008F67B1">
        <w:rPr>
          <w:rFonts w:ascii="Times New Roman" w:hAnsi="Times New Roman"/>
          <w:sz w:val="26"/>
          <w:szCs w:val="26"/>
        </w:rPr>
        <w:t>расходов</w:t>
      </w:r>
      <w:r w:rsidR="00F63A09">
        <w:rPr>
          <w:rFonts w:ascii="Times New Roman" w:hAnsi="Times New Roman"/>
          <w:sz w:val="26"/>
          <w:szCs w:val="26"/>
        </w:rPr>
        <w:t xml:space="preserve"> на социальное </w:t>
      </w:r>
      <w:r w:rsidR="008F67B1">
        <w:rPr>
          <w:rFonts w:ascii="Times New Roman" w:hAnsi="Times New Roman"/>
          <w:sz w:val="26"/>
          <w:szCs w:val="26"/>
        </w:rPr>
        <w:t>обслуживание</w:t>
      </w:r>
      <w:r w:rsidR="00F63A09">
        <w:rPr>
          <w:rFonts w:ascii="Times New Roman" w:hAnsi="Times New Roman"/>
          <w:sz w:val="26"/>
          <w:szCs w:val="26"/>
        </w:rPr>
        <w:t xml:space="preserve"> </w:t>
      </w:r>
      <w:r w:rsidR="008F67B1">
        <w:rPr>
          <w:rFonts w:ascii="Times New Roman" w:hAnsi="Times New Roman"/>
          <w:sz w:val="26"/>
          <w:szCs w:val="26"/>
        </w:rPr>
        <w:t>населения</w:t>
      </w:r>
      <w:r w:rsidR="00F63A09">
        <w:rPr>
          <w:rFonts w:ascii="Times New Roman" w:hAnsi="Times New Roman"/>
          <w:sz w:val="26"/>
          <w:szCs w:val="26"/>
        </w:rPr>
        <w:t xml:space="preserve"> </w:t>
      </w:r>
      <w:r w:rsidR="008F67B1">
        <w:rPr>
          <w:rFonts w:ascii="Times New Roman" w:hAnsi="Times New Roman"/>
          <w:sz w:val="26"/>
          <w:szCs w:val="26"/>
        </w:rPr>
        <w:t>необходимо</w:t>
      </w:r>
      <w:r w:rsidR="00F63A09">
        <w:rPr>
          <w:rFonts w:ascii="Times New Roman" w:hAnsi="Times New Roman"/>
          <w:sz w:val="26"/>
          <w:szCs w:val="26"/>
        </w:rPr>
        <w:t xml:space="preserve"> разделить по </w:t>
      </w:r>
      <w:r w:rsidR="008F67B1">
        <w:rPr>
          <w:rFonts w:ascii="Times New Roman" w:hAnsi="Times New Roman"/>
          <w:sz w:val="26"/>
          <w:szCs w:val="26"/>
        </w:rPr>
        <w:t>видам</w:t>
      </w:r>
      <w:r w:rsidR="00F63A09">
        <w:rPr>
          <w:rFonts w:ascii="Times New Roman" w:hAnsi="Times New Roman"/>
          <w:sz w:val="26"/>
          <w:szCs w:val="26"/>
        </w:rPr>
        <w:t xml:space="preserve"> помощи (стационар, дневной стационар, надомное обслуживание, амбулаторные услуги, телефонное консультирование) и по категориям получателей услуг</w:t>
      </w:r>
      <w:r w:rsidR="008F67B1">
        <w:rPr>
          <w:rFonts w:ascii="Times New Roman" w:hAnsi="Times New Roman"/>
          <w:sz w:val="26"/>
          <w:szCs w:val="26"/>
        </w:rPr>
        <w:t>,</w:t>
      </w:r>
      <w:r w:rsidR="00F63A09">
        <w:rPr>
          <w:rFonts w:ascii="Times New Roman" w:hAnsi="Times New Roman"/>
          <w:sz w:val="26"/>
          <w:szCs w:val="26"/>
        </w:rPr>
        <w:t xml:space="preserve"> хотя бы по основным - дети, лица пожилого возраста, инвалиды, </w:t>
      </w:r>
      <w:r w:rsidR="008F67B1">
        <w:rPr>
          <w:rFonts w:ascii="Times New Roman" w:hAnsi="Times New Roman"/>
          <w:sz w:val="26"/>
          <w:szCs w:val="26"/>
        </w:rPr>
        <w:t>семьи</w:t>
      </w:r>
      <w:r w:rsidR="00F63A09">
        <w:rPr>
          <w:rFonts w:ascii="Times New Roman" w:hAnsi="Times New Roman"/>
          <w:sz w:val="26"/>
          <w:szCs w:val="26"/>
        </w:rPr>
        <w:t xml:space="preserve"> с </w:t>
      </w:r>
      <w:r w:rsidR="008F67B1">
        <w:rPr>
          <w:rFonts w:ascii="Times New Roman" w:hAnsi="Times New Roman"/>
          <w:sz w:val="26"/>
          <w:szCs w:val="26"/>
        </w:rPr>
        <w:t>детьми</w:t>
      </w:r>
      <w:r w:rsidR="00F63A09">
        <w:rPr>
          <w:rFonts w:ascii="Times New Roman" w:hAnsi="Times New Roman"/>
          <w:sz w:val="26"/>
          <w:szCs w:val="26"/>
        </w:rPr>
        <w:t xml:space="preserve">. В случае социального обслуживания населения подобный учет следует вести не на уровне </w:t>
      </w:r>
      <w:r w:rsidR="008F67B1">
        <w:rPr>
          <w:rFonts w:ascii="Times New Roman" w:hAnsi="Times New Roman"/>
          <w:sz w:val="26"/>
          <w:szCs w:val="26"/>
        </w:rPr>
        <w:t>подразделов</w:t>
      </w:r>
      <w:r w:rsidR="00F63A09">
        <w:rPr>
          <w:rFonts w:ascii="Times New Roman" w:hAnsi="Times New Roman"/>
          <w:sz w:val="26"/>
          <w:szCs w:val="26"/>
        </w:rPr>
        <w:t xml:space="preserve">, а на уровне </w:t>
      </w:r>
      <w:r w:rsidR="008F67B1">
        <w:rPr>
          <w:rFonts w:ascii="Times New Roman" w:hAnsi="Times New Roman"/>
          <w:sz w:val="26"/>
          <w:szCs w:val="26"/>
        </w:rPr>
        <w:t>целевых</w:t>
      </w:r>
      <w:r w:rsidR="00F63A09">
        <w:rPr>
          <w:rFonts w:ascii="Times New Roman" w:hAnsi="Times New Roman"/>
          <w:sz w:val="26"/>
          <w:szCs w:val="26"/>
        </w:rPr>
        <w:t xml:space="preserve"> статей расходов. </w:t>
      </w:r>
    </w:p>
    <w:p w:rsidR="00F57D3D" w:rsidRDefault="00F57D3D" w:rsidP="00F57D3D">
      <w:pPr>
        <w:pStyle w:val="ac"/>
        <w:numPr>
          <w:ilvl w:val="0"/>
          <w:numId w:val="18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Судя по объему услуг, предоставленных некоторыми центрами социального обслуживания населения, учет объема пр</w:t>
      </w:r>
      <w:r w:rsidR="00F63A09">
        <w:rPr>
          <w:rFonts w:ascii="Times New Roman" w:hAnsi="Times New Roman"/>
          <w:sz w:val="26"/>
          <w:szCs w:val="26"/>
        </w:rPr>
        <w:t>едо</w:t>
      </w:r>
      <w:r>
        <w:rPr>
          <w:rFonts w:ascii="Times New Roman" w:hAnsi="Times New Roman"/>
          <w:sz w:val="26"/>
          <w:szCs w:val="26"/>
        </w:rPr>
        <w:t>с</w:t>
      </w:r>
      <w:r w:rsidR="00F63A09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авленных услуг введется в них не разрезе клиентов, а в разрезе предоставленных им </w:t>
      </w:r>
      <w:r w:rsidR="00802ACE">
        <w:rPr>
          <w:rFonts w:ascii="Times New Roman" w:hAnsi="Times New Roman"/>
          <w:sz w:val="26"/>
          <w:szCs w:val="26"/>
        </w:rPr>
        <w:t xml:space="preserve">частичных </w:t>
      </w:r>
      <w:r>
        <w:rPr>
          <w:rFonts w:ascii="Times New Roman" w:hAnsi="Times New Roman"/>
          <w:sz w:val="26"/>
          <w:szCs w:val="26"/>
        </w:rPr>
        <w:t>услуг. Так, один клиент,</w:t>
      </w:r>
      <w:r w:rsidR="00D51FEF">
        <w:rPr>
          <w:rFonts w:ascii="Times New Roman" w:hAnsi="Times New Roman"/>
          <w:sz w:val="26"/>
          <w:szCs w:val="26"/>
        </w:rPr>
        <w:t xml:space="preserve"> </w:t>
      </w:r>
      <w:r w:rsidR="008F67B1">
        <w:rPr>
          <w:rFonts w:ascii="Times New Roman" w:hAnsi="Times New Roman"/>
          <w:sz w:val="26"/>
          <w:szCs w:val="26"/>
        </w:rPr>
        <w:t>обратившийся</w:t>
      </w:r>
      <w:r w:rsidR="00D51FEF">
        <w:rPr>
          <w:rFonts w:ascii="Times New Roman" w:hAnsi="Times New Roman"/>
          <w:sz w:val="26"/>
          <w:szCs w:val="26"/>
        </w:rPr>
        <w:t xml:space="preserve"> в такой центр, за одно посещение мо</w:t>
      </w:r>
      <w:r>
        <w:rPr>
          <w:rFonts w:ascii="Times New Roman" w:hAnsi="Times New Roman"/>
          <w:sz w:val="26"/>
          <w:szCs w:val="26"/>
        </w:rPr>
        <w:t>ж</w:t>
      </w:r>
      <w:r w:rsidR="00D51FEF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 получ</w:t>
      </w:r>
      <w:r w:rsidR="00F63A0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ть юридическую услуг</w:t>
      </w:r>
      <w:r w:rsidR="00D51FEF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, услугу психологической поддержки, социально-педагогическую услугу и т.д. Уче</w:t>
      </w:r>
      <w:r w:rsidR="00D51FEF">
        <w:rPr>
          <w:rFonts w:ascii="Times New Roman" w:hAnsi="Times New Roman"/>
          <w:sz w:val="26"/>
          <w:szCs w:val="26"/>
        </w:rPr>
        <w:t>т посещений в разрезе специалис</w:t>
      </w:r>
      <w:r>
        <w:rPr>
          <w:rFonts w:ascii="Times New Roman" w:hAnsi="Times New Roman"/>
          <w:sz w:val="26"/>
          <w:szCs w:val="26"/>
        </w:rPr>
        <w:t>то</w:t>
      </w:r>
      <w:r w:rsidR="00D51FEF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важен для правильного планирования нагрузки на специалистов, но для правильной </w:t>
      </w:r>
      <w:r w:rsidR="008F67B1">
        <w:rPr>
          <w:rFonts w:ascii="Times New Roman" w:hAnsi="Times New Roman"/>
          <w:sz w:val="26"/>
          <w:szCs w:val="26"/>
        </w:rPr>
        <w:t>оценки</w:t>
      </w:r>
      <w:r>
        <w:rPr>
          <w:rFonts w:ascii="Times New Roman" w:hAnsi="Times New Roman"/>
          <w:sz w:val="26"/>
          <w:szCs w:val="26"/>
        </w:rPr>
        <w:t xml:space="preserve"> п</w:t>
      </w:r>
      <w:r w:rsidR="00802ACE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тре</w:t>
      </w:r>
      <w:r w:rsidR="00802ACE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ности в социальных услугах учет должен вестись именно в разрезе </w:t>
      </w:r>
      <w:r w:rsidR="00802ACE">
        <w:rPr>
          <w:rFonts w:ascii="Times New Roman" w:hAnsi="Times New Roman"/>
          <w:sz w:val="26"/>
          <w:szCs w:val="26"/>
        </w:rPr>
        <w:t xml:space="preserve">случаев (индивидуальных </w:t>
      </w:r>
      <w:r>
        <w:rPr>
          <w:rFonts w:ascii="Times New Roman" w:hAnsi="Times New Roman"/>
          <w:sz w:val="26"/>
          <w:szCs w:val="26"/>
        </w:rPr>
        <w:t>клиентов</w:t>
      </w:r>
      <w:r w:rsidR="00802AC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  <w:r w:rsidR="00D51FEF">
        <w:rPr>
          <w:rFonts w:ascii="Times New Roman" w:hAnsi="Times New Roman"/>
          <w:sz w:val="26"/>
          <w:szCs w:val="26"/>
        </w:rPr>
        <w:t xml:space="preserve"> Переход на такой учет потребует и изменения системы работы с клиентом: должен </w:t>
      </w:r>
      <w:r w:rsidR="008F67B1">
        <w:rPr>
          <w:rFonts w:ascii="Times New Roman" w:hAnsi="Times New Roman"/>
          <w:sz w:val="26"/>
          <w:szCs w:val="26"/>
        </w:rPr>
        <w:t>будет</w:t>
      </w:r>
      <w:r w:rsidR="00D51FEF">
        <w:rPr>
          <w:rFonts w:ascii="Times New Roman" w:hAnsi="Times New Roman"/>
          <w:sz w:val="26"/>
          <w:szCs w:val="26"/>
        </w:rPr>
        <w:t xml:space="preserve"> появиться ответственный </w:t>
      </w:r>
      <w:r w:rsidR="008F67B1">
        <w:rPr>
          <w:rFonts w:ascii="Times New Roman" w:hAnsi="Times New Roman"/>
          <w:sz w:val="26"/>
          <w:szCs w:val="26"/>
        </w:rPr>
        <w:t>за координацию</w:t>
      </w:r>
      <w:r w:rsidR="00D51FEF">
        <w:rPr>
          <w:rFonts w:ascii="Times New Roman" w:hAnsi="Times New Roman"/>
          <w:sz w:val="26"/>
          <w:szCs w:val="26"/>
        </w:rPr>
        <w:t xml:space="preserve"> действий </w:t>
      </w:r>
      <w:r w:rsidR="008F67B1">
        <w:rPr>
          <w:rFonts w:ascii="Times New Roman" w:hAnsi="Times New Roman"/>
          <w:sz w:val="26"/>
          <w:szCs w:val="26"/>
        </w:rPr>
        <w:t>специалистов</w:t>
      </w:r>
      <w:r w:rsidR="00D51FEF">
        <w:rPr>
          <w:rFonts w:ascii="Times New Roman" w:hAnsi="Times New Roman"/>
          <w:sz w:val="26"/>
          <w:szCs w:val="26"/>
        </w:rPr>
        <w:t xml:space="preserve">, работающих с конкретным клиентом, </w:t>
      </w:r>
      <w:r w:rsidR="008F67B1">
        <w:rPr>
          <w:rFonts w:ascii="Times New Roman" w:hAnsi="Times New Roman"/>
          <w:sz w:val="26"/>
          <w:szCs w:val="26"/>
        </w:rPr>
        <w:t>т.е.</w:t>
      </w:r>
      <w:r w:rsidR="00D51FEF">
        <w:rPr>
          <w:rFonts w:ascii="Times New Roman" w:hAnsi="Times New Roman"/>
          <w:sz w:val="26"/>
          <w:szCs w:val="26"/>
        </w:rPr>
        <w:t xml:space="preserve"> куратор, </w:t>
      </w:r>
      <w:r w:rsidR="008F67B1">
        <w:rPr>
          <w:rFonts w:ascii="Times New Roman" w:hAnsi="Times New Roman"/>
          <w:sz w:val="26"/>
          <w:szCs w:val="26"/>
        </w:rPr>
        <w:t>ведущий</w:t>
      </w:r>
      <w:r w:rsidR="00D51FEF">
        <w:rPr>
          <w:rFonts w:ascii="Times New Roman" w:hAnsi="Times New Roman"/>
          <w:sz w:val="26"/>
          <w:szCs w:val="26"/>
        </w:rPr>
        <w:t xml:space="preserve"> дело конкретного </w:t>
      </w:r>
      <w:r w:rsidR="00F63A09">
        <w:rPr>
          <w:rFonts w:ascii="Times New Roman" w:hAnsi="Times New Roman"/>
          <w:sz w:val="26"/>
          <w:szCs w:val="26"/>
        </w:rPr>
        <w:t>клиента.</w:t>
      </w:r>
    </w:p>
    <w:p w:rsidR="00802ACE" w:rsidRDefault="00802ACE" w:rsidP="00F57D3D">
      <w:pPr>
        <w:pStyle w:val="ac"/>
        <w:numPr>
          <w:ilvl w:val="0"/>
          <w:numId w:val="18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Данные Росстата свидетельствую</w:t>
      </w:r>
      <w:r w:rsidR="00CD6C2F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о том, что  статистика социального обслуживания населения ведется только в разрезе </w:t>
      </w:r>
      <w:r w:rsidR="00B72456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осударственных учреждений.  По данным </w:t>
      </w:r>
      <w:r w:rsidRPr="00705854">
        <w:rPr>
          <w:rFonts w:ascii="Times New Roman" w:hAnsi="Times New Roman"/>
          <w:sz w:val="26"/>
          <w:szCs w:val="26"/>
        </w:rPr>
        <w:t>Фонда поддержки детей, находящихся в трудной жизненной ситуации, в  сентябре 2010 года в Российской Федерации, совместно с субъектами Российской Федерации введен единый общероссийский номер детского телефона доверия В настоящее время такие телефоны де</w:t>
      </w:r>
      <w:r w:rsidR="00CD6C2F">
        <w:rPr>
          <w:rFonts w:ascii="Times New Roman" w:hAnsi="Times New Roman"/>
          <w:sz w:val="26"/>
          <w:szCs w:val="26"/>
        </w:rPr>
        <w:t>й</w:t>
      </w:r>
      <w:r w:rsidRPr="00705854">
        <w:rPr>
          <w:rFonts w:ascii="Times New Roman" w:hAnsi="Times New Roman"/>
          <w:sz w:val="26"/>
          <w:szCs w:val="26"/>
        </w:rPr>
        <w:t>ствуют во</w:t>
      </w:r>
      <w:r w:rsidR="00CD6C2F">
        <w:rPr>
          <w:rFonts w:ascii="Times New Roman" w:hAnsi="Times New Roman"/>
          <w:sz w:val="26"/>
          <w:szCs w:val="26"/>
        </w:rPr>
        <w:t xml:space="preserve"> </w:t>
      </w:r>
      <w:r w:rsidRPr="00705854">
        <w:rPr>
          <w:rFonts w:ascii="Times New Roman" w:hAnsi="Times New Roman"/>
          <w:sz w:val="26"/>
          <w:szCs w:val="26"/>
        </w:rPr>
        <w:t>всех регионах. В 2011 году они действовали в большинс</w:t>
      </w:r>
      <w:r w:rsidR="00D51FEF">
        <w:rPr>
          <w:rFonts w:ascii="Times New Roman" w:hAnsi="Times New Roman"/>
          <w:sz w:val="26"/>
          <w:szCs w:val="26"/>
        </w:rPr>
        <w:t>т</w:t>
      </w:r>
      <w:r w:rsidRPr="00705854">
        <w:rPr>
          <w:rFonts w:ascii="Times New Roman" w:hAnsi="Times New Roman"/>
          <w:sz w:val="26"/>
          <w:szCs w:val="26"/>
        </w:rPr>
        <w:t>ве регионов России. Однако судя по дан</w:t>
      </w:r>
      <w:r w:rsidR="00D51FEF">
        <w:rPr>
          <w:rFonts w:ascii="Times New Roman" w:hAnsi="Times New Roman"/>
          <w:sz w:val="26"/>
          <w:szCs w:val="26"/>
        </w:rPr>
        <w:t>ным статистического отчета Росс</w:t>
      </w:r>
      <w:r w:rsidRPr="00705854">
        <w:rPr>
          <w:rFonts w:ascii="Times New Roman" w:hAnsi="Times New Roman"/>
          <w:sz w:val="26"/>
          <w:szCs w:val="26"/>
        </w:rPr>
        <w:t xml:space="preserve">тата о числе клиентов, получивших услуги телефона доверия, такие телефоны </w:t>
      </w:r>
      <w:r w:rsidR="00705854" w:rsidRPr="00705854">
        <w:rPr>
          <w:rFonts w:ascii="Times New Roman" w:hAnsi="Times New Roman"/>
          <w:sz w:val="26"/>
          <w:szCs w:val="26"/>
        </w:rPr>
        <w:t xml:space="preserve">в 2010 году </w:t>
      </w:r>
      <w:r w:rsidRPr="00705854">
        <w:rPr>
          <w:rFonts w:ascii="Times New Roman" w:hAnsi="Times New Roman"/>
          <w:sz w:val="26"/>
          <w:szCs w:val="26"/>
        </w:rPr>
        <w:t xml:space="preserve">действовали только в </w:t>
      </w:r>
      <w:r w:rsidR="00705854" w:rsidRPr="00705854">
        <w:rPr>
          <w:rFonts w:ascii="Times New Roman" w:hAnsi="Times New Roman"/>
          <w:sz w:val="26"/>
          <w:szCs w:val="26"/>
        </w:rPr>
        <w:t>2х регионах Рос</w:t>
      </w:r>
      <w:r w:rsidR="00F63A09">
        <w:rPr>
          <w:rFonts w:ascii="Times New Roman" w:hAnsi="Times New Roman"/>
          <w:sz w:val="26"/>
          <w:szCs w:val="26"/>
        </w:rPr>
        <w:t>си</w:t>
      </w:r>
      <w:r w:rsidR="00705854" w:rsidRPr="00705854">
        <w:rPr>
          <w:rFonts w:ascii="Times New Roman" w:hAnsi="Times New Roman"/>
          <w:sz w:val="26"/>
          <w:szCs w:val="26"/>
        </w:rPr>
        <w:t>йской Федерации из 83 0- в Кемеровской области, Республике Марий Эл</w:t>
      </w:r>
      <w:r w:rsidR="008F67B1" w:rsidRPr="00705854">
        <w:rPr>
          <w:rFonts w:ascii="Times New Roman" w:hAnsi="Times New Roman"/>
          <w:sz w:val="26"/>
          <w:szCs w:val="26"/>
        </w:rPr>
        <w:t>.</w:t>
      </w:r>
      <w:r w:rsidR="00705854" w:rsidRPr="00705854">
        <w:rPr>
          <w:rFonts w:ascii="Times New Roman" w:hAnsi="Times New Roman"/>
          <w:sz w:val="26"/>
          <w:szCs w:val="26"/>
        </w:rPr>
        <w:t xml:space="preserve"> По</w:t>
      </w:r>
      <w:r w:rsidR="00D51FEF">
        <w:rPr>
          <w:rFonts w:ascii="Times New Roman" w:hAnsi="Times New Roman"/>
          <w:sz w:val="26"/>
          <w:szCs w:val="26"/>
        </w:rPr>
        <w:t xml:space="preserve"> всей вероятности, такое расхо</w:t>
      </w:r>
      <w:r w:rsidR="00705854" w:rsidRPr="00705854">
        <w:rPr>
          <w:rFonts w:ascii="Times New Roman" w:hAnsi="Times New Roman"/>
          <w:sz w:val="26"/>
          <w:szCs w:val="26"/>
        </w:rPr>
        <w:t xml:space="preserve">ждение отчетных данных с действительностью связано с тем, что регионы предоставлю в Росстат только данные о социальных услугах, оказываемых населению государственными учреждениями, тогда как </w:t>
      </w:r>
      <w:r w:rsidR="00D51FEF">
        <w:rPr>
          <w:rFonts w:ascii="Times New Roman" w:hAnsi="Times New Roman"/>
          <w:sz w:val="26"/>
          <w:szCs w:val="26"/>
        </w:rPr>
        <w:t xml:space="preserve">услуги </w:t>
      </w:r>
      <w:r w:rsidR="00705854" w:rsidRPr="00705854">
        <w:rPr>
          <w:rFonts w:ascii="Times New Roman" w:hAnsi="Times New Roman"/>
          <w:sz w:val="26"/>
          <w:szCs w:val="26"/>
        </w:rPr>
        <w:t>теле</w:t>
      </w:r>
      <w:r w:rsidR="00D51FEF">
        <w:rPr>
          <w:rFonts w:ascii="Times New Roman" w:hAnsi="Times New Roman"/>
          <w:sz w:val="26"/>
          <w:szCs w:val="26"/>
        </w:rPr>
        <w:t>фонов дов</w:t>
      </w:r>
      <w:r w:rsidR="00705854" w:rsidRPr="00705854">
        <w:rPr>
          <w:rFonts w:ascii="Times New Roman" w:hAnsi="Times New Roman"/>
          <w:sz w:val="26"/>
          <w:szCs w:val="26"/>
        </w:rPr>
        <w:t xml:space="preserve">ерия в основном </w:t>
      </w:r>
      <w:r w:rsidR="00D51FEF">
        <w:rPr>
          <w:rFonts w:ascii="Times New Roman" w:hAnsi="Times New Roman"/>
          <w:sz w:val="26"/>
          <w:szCs w:val="26"/>
        </w:rPr>
        <w:t xml:space="preserve">предоставляются </w:t>
      </w:r>
      <w:r w:rsidR="00705854" w:rsidRPr="00705854">
        <w:rPr>
          <w:rFonts w:ascii="Times New Roman" w:hAnsi="Times New Roman"/>
          <w:sz w:val="26"/>
          <w:szCs w:val="26"/>
        </w:rPr>
        <w:t xml:space="preserve"> автономными или негосударственными некоммерческими организациями. </w:t>
      </w:r>
      <w:r w:rsidR="008F67B1">
        <w:rPr>
          <w:rFonts w:ascii="Times New Roman" w:hAnsi="Times New Roman"/>
          <w:sz w:val="26"/>
          <w:szCs w:val="26"/>
        </w:rPr>
        <w:t>В результате оказанная населению за государственный счет услуга оказывается неучтенной официальной статистикой.</w:t>
      </w:r>
    </w:p>
    <w:p w:rsidR="00211530" w:rsidRDefault="008F67B1" w:rsidP="00F57D3D">
      <w:pPr>
        <w:pStyle w:val="ac"/>
        <w:numPr>
          <w:ilvl w:val="0"/>
          <w:numId w:val="18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 привести ведомственный учет и учет Росстатом предоставленных населению услуг социального обслуживания в соответствии с бюджетным учетом расходов на оказание услуг социального обслуживания (стационарные услуги, надомные и т.д. плюс по категориям получателей) с тем, чтобы обеспечить возможность оценивать эффективность бюджетных расходов в этой сфере.</w:t>
      </w:r>
    </w:p>
    <w:p w:rsidR="00211530" w:rsidRDefault="00211530" w:rsidP="00211530">
      <w:pPr>
        <w:pStyle w:val="ac"/>
        <w:spacing w:after="0"/>
        <w:ind w:left="360" w:firstLine="0"/>
        <w:rPr>
          <w:rFonts w:ascii="Times New Roman" w:hAnsi="Times New Roman"/>
          <w:sz w:val="26"/>
          <w:szCs w:val="26"/>
        </w:rPr>
      </w:pPr>
    </w:p>
    <w:p w:rsidR="0030701B" w:rsidRPr="00211530" w:rsidRDefault="00211530" w:rsidP="00456979">
      <w:pPr>
        <w:pStyle w:val="1"/>
        <w:rPr>
          <w:i/>
          <w:sz w:val="26"/>
          <w:szCs w:val="26"/>
        </w:rPr>
      </w:pPr>
      <w:bookmarkStart w:id="6" w:name="_Toc383442171"/>
      <w:r w:rsidRPr="00211530">
        <w:rPr>
          <w:i/>
          <w:sz w:val="26"/>
          <w:szCs w:val="26"/>
        </w:rPr>
        <w:t>Сравнение регионов по доле расходов на закупку услуг в общем объеме расходов на социальной обслуживание</w:t>
      </w:r>
      <w:r w:rsidR="0030701B" w:rsidRPr="00211530">
        <w:rPr>
          <w:i/>
          <w:sz w:val="26"/>
          <w:szCs w:val="26"/>
        </w:rPr>
        <w:t xml:space="preserve"> </w:t>
      </w:r>
      <w:r w:rsidRPr="00211530">
        <w:rPr>
          <w:i/>
          <w:sz w:val="26"/>
          <w:szCs w:val="26"/>
        </w:rPr>
        <w:t>население</w:t>
      </w:r>
      <w:bookmarkEnd w:id="6"/>
    </w:p>
    <w:p w:rsidR="00701211" w:rsidRDefault="00701211" w:rsidP="00A40D6C">
      <w:pPr>
        <w:pStyle w:val="ac"/>
        <w:spacing w:after="0"/>
        <w:rPr>
          <w:rFonts w:ascii="Times New Roman" w:hAnsi="Times New Roman"/>
          <w:sz w:val="26"/>
          <w:szCs w:val="26"/>
        </w:rPr>
      </w:pPr>
    </w:p>
    <w:p w:rsidR="00211530" w:rsidRDefault="008F67B1" w:rsidP="00A40D6C">
      <w:pPr>
        <w:pStyle w:val="ac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Поскольку конечной целью настоящего исследования является выявление факторов, влияющих на качество социальных услуг, в частность, анализ взаимосвязи между объемом финансирования услуг и их качеством, для нас представляет интерес рассмотрение такого фактора, как форма финансирования социального обслуживания населения -  сметное содержание учреждений, оказывающих социальные услуги, и  закупка социальных услуг в форме государственного задания или заказа.</w:t>
      </w:r>
    </w:p>
    <w:p w:rsidR="00BB71AC" w:rsidRDefault="00BB71AC" w:rsidP="00A40D6C">
      <w:pPr>
        <w:pStyle w:val="ac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Такая форма финансирования, как конкурсное </w:t>
      </w:r>
      <w:r w:rsidR="008F67B1">
        <w:rPr>
          <w:rFonts w:ascii="Times New Roman" w:hAnsi="Times New Roman"/>
          <w:sz w:val="26"/>
          <w:szCs w:val="26"/>
        </w:rPr>
        <w:t>размещение</w:t>
      </w:r>
      <w:r>
        <w:rPr>
          <w:rFonts w:ascii="Times New Roman" w:hAnsi="Times New Roman"/>
          <w:sz w:val="26"/>
          <w:szCs w:val="26"/>
        </w:rPr>
        <w:t xml:space="preserve"> государственного заказа на социальное обслуживание населения среди некоммерческих организаций  </w:t>
      </w:r>
      <w:r w:rsidR="008F67B1">
        <w:rPr>
          <w:rFonts w:ascii="Times New Roman" w:hAnsi="Times New Roman"/>
          <w:sz w:val="26"/>
          <w:szCs w:val="26"/>
        </w:rPr>
        <w:t>большого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8F67B1">
        <w:rPr>
          <w:rFonts w:ascii="Times New Roman" w:hAnsi="Times New Roman"/>
          <w:sz w:val="26"/>
          <w:szCs w:val="26"/>
        </w:rPr>
        <w:t>распространения</w:t>
      </w:r>
      <w:r>
        <w:rPr>
          <w:rFonts w:ascii="Times New Roman" w:hAnsi="Times New Roman"/>
          <w:sz w:val="26"/>
          <w:szCs w:val="26"/>
        </w:rPr>
        <w:t xml:space="preserve"> пока не получила. </w:t>
      </w:r>
      <w:r w:rsidR="008F67B1">
        <w:rPr>
          <w:rFonts w:ascii="Times New Roman" w:hAnsi="Times New Roman"/>
          <w:sz w:val="26"/>
          <w:szCs w:val="26"/>
        </w:rPr>
        <w:t>Этой формой финансирования социального обслуживания пользуются только 5 регионов  из 83, причем в каждом из них объем  средств, перечисляемых организациям помимо государственных и муниципальных  по статье «Социальное обслуживание населения» не превышает 1% от общих расходов по этой статье.</w:t>
      </w:r>
    </w:p>
    <w:p w:rsidR="00BB71AC" w:rsidRDefault="00BB71AC" w:rsidP="00A40D6C">
      <w:pPr>
        <w:pStyle w:val="ac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Что же касается финансирования социального обслуживания населения в виде государственного задания соответствующим учреждениям, то она получила </w:t>
      </w:r>
      <w:r w:rsidR="008F67B1">
        <w:rPr>
          <w:rFonts w:ascii="Times New Roman" w:hAnsi="Times New Roman"/>
          <w:sz w:val="26"/>
          <w:szCs w:val="26"/>
        </w:rPr>
        <w:lastRenderedPageBreak/>
        <w:t>достаточно</w:t>
      </w:r>
      <w:r>
        <w:rPr>
          <w:rFonts w:ascii="Times New Roman" w:hAnsi="Times New Roman"/>
          <w:sz w:val="26"/>
          <w:szCs w:val="26"/>
        </w:rPr>
        <w:t xml:space="preserve"> </w:t>
      </w:r>
      <w:r w:rsidR="008F67B1">
        <w:rPr>
          <w:rFonts w:ascii="Times New Roman" w:hAnsi="Times New Roman"/>
          <w:sz w:val="26"/>
          <w:szCs w:val="26"/>
        </w:rPr>
        <w:t>широкое</w:t>
      </w:r>
      <w:r>
        <w:rPr>
          <w:rFonts w:ascii="Times New Roman" w:hAnsi="Times New Roman"/>
          <w:sz w:val="26"/>
          <w:szCs w:val="26"/>
        </w:rPr>
        <w:t xml:space="preserve"> распространение среди регионов. В среднем по регионам России через эту форму финансируется 46% расходов  консолидированных расходов региональных бюджетов на социальное обслуживание населения. По регионам доля этих расходов существенно варьирует (см. рисунок)</w:t>
      </w:r>
    </w:p>
    <w:p w:rsidR="00BB71AC" w:rsidRDefault="00BB71AC" w:rsidP="00A40D6C">
      <w:pPr>
        <w:pStyle w:val="ac"/>
        <w:spacing w:after="0"/>
        <w:rPr>
          <w:rFonts w:ascii="Times New Roman" w:hAnsi="Times New Roman"/>
          <w:sz w:val="26"/>
          <w:szCs w:val="26"/>
        </w:rPr>
      </w:pPr>
    </w:p>
    <w:p w:rsidR="00BB71AC" w:rsidRPr="005007A7" w:rsidRDefault="008F67B1" w:rsidP="005007A7">
      <w:pPr>
        <w:spacing w:after="120" w:line="240" w:lineRule="auto"/>
        <w:ind w:left="851" w:right="708"/>
        <w:jc w:val="center"/>
        <w:rPr>
          <w:rFonts w:cs="Times New Roman"/>
          <w:b/>
          <w:sz w:val="20"/>
          <w:szCs w:val="20"/>
        </w:rPr>
      </w:pPr>
      <w:r w:rsidRPr="005007A7">
        <w:rPr>
          <w:rFonts w:cs="Times New Roman"/>
          <w:b/>
          <w:sz w:val="20"/>
          <w:szCs w:val="20"/>
        </w:rPr>
        <w:t>Доля расходов (%), финансируемых через механизм государственного задания и механизм сметного содержания учреждений социальной сфер</w:t>
      </w:r>
      <w:r w:rsidR="005007A7" w:rsidRPr="005007A7">
        <w:rPr>
          <w:rFonts w:cs="Times New Roman"/>
          <w:b/>
          <w:sz w:val="20"/>
          <w:szCs w:val="20"/>
        </w:rPr>
        <w:t>ы в регионах России, 2012</w:t>
      </w:r>
    </w:p>
    <w:p w:rsidR="00BB71AC" w:rsidRDefault="0086522A" w:rsidP="00CB5E3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t xml:space="preserve"> </w:t>
      </w:r>
    </w:p>
    <w:p w:rsidR="0086522A" w:rsidRDefault="0086522A" w:rsidP="00CB5E3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B0BBCF" wp14:editId="2221AE59">
            <wp:extent cx="4632960" cy="29565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1AC" w:rsidRDefault="0086522A" w:rsidP="00A40D6C">
      <w:pPr>
        <w:pStyle w:val="ac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данном рисунке  по вертикальной оси откла</w:t>
      </w:r>
      <w:r w:rsidR="00F346D2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ывается доля расходов на социальную сферу, фин</w:t>
      </w:r>
      <w:r w:rsidR="006461B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нсиру</w:t>
      </w:r>
      <w:r w:rsidR="00F346D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мых в регионе через механизм государственного</w:t>
      </w:r>
      <w:r w:rsidR="006461B6">
        <w:rPr>
          <w:rFonts w:ascii="Times New Roman" w:hAnsi="Times New Roman"/>
          <w:sz w:val="26"/>
          <w:szCs w:val="26"/>
        </w:rPr>
        <w:t xml:space="preserve"> (муниципального) </w:t>
      </w:r>
      <w:r>
        <w:rPr>
          <w:rFonts w:ascii="Times New Roman" w:hAnsi="Times New Roman"/>
          <w:sz w:val="26"/>
          <w:szCs w:val="26"/>
        </w:rPr>
        <w:t>заказа; соответственно, разность между 100% и вертикальной координатой точки отражает долю расходов, финансируемых в форме сметного содержания учреждений. Регионы упорядочены по возрастанию доли госзаказа</w:t>
      </w:r>
      <w:r w:rsidR="006461B6">
        <w:rPr>
          <w:rFonts w:ascii="Times New Roman" w:hAnsi="Times New Roman"/>
          <w:sz w:val="26"/>
          <w:szCs w:val="26"/>
        </w:rPr>
        <w:t xml:space="preserve"> в расходах консолидированного бюджета на социальное обслуживание насе</w:t>
      </w:r>
      <w:r w:rsidR="00D521D8">
        <w:rPr>
          <w:rFonts w:ascii="Times New Roman" w:hAnsi="Times New Roman"/>
          <w:sz w:val="26"/>
          <w:szCs w:val="26"/>
        </w:rPr>
        <w:t>ления</w:t>
      </w:r>
      <w:r>
        <w:rPr>
          <w:rFonts w:ascii="Times New Roman" w:hAnsi="Times New Roman"/>
          <w:sz w:val="26"/>
          <w:szCs w:val="26"/>
        </w:rPr>
        <w:t xml:space="preserve">. По горизонтальной </w:t>
      </w:r>
      <w:r w:rsidR="006461B6">
        <w:rPr>
          <w:rFonts w:ascii="Times New Roman" w:hAnsi="Times New Roman"/>
          <w:sz w:val="26"/>
          <w:szCs w:val="26"/>
        </w:rPr>
        <w:t>оси откладывается доля расходов на социальное обслуживание всех регионов с начала упорядоченного списка, включая данный</w:t>
      </w:r>
      <w:r w:rsidR="00D521D8">
        <w:rPr>
          <w:rFonts w:ascii="Times New Roman" w:hAnsi="Times New Roman"/>
          <w:sz w:val="26"/>
          <w:szCs w:val="26"/>
        </w:rPr>
        <w:t xml:space="preserve"> регион</w:t>
      </w:r>
      <w:r w:rsidR="006461B6">
        <w:rPr>
          <w:rFonts w:ascii="Times New Roman" w:hAnsi="Times New Roman"/>
          <w:sz w:val="26"/>
          <w:szCs w:val="26"/>
        </w:rPr>
        <w:t xml:space="preserve">, во всех расходах на социальное обслуживание всех регионов. Площадь темной области на рисунке </w:t>
      </w:r>
      <w:r w:rsidR="008F67B1">
        <w:rPr>
          <w:rFonts w:ascii="Times New Roman" w:hAnsi="Times New Roman"/>
          <w:sz w:val="26"/>
          <w:szCs w:val="26"/>
        </w:rPr>
        <w:t>составляет</w:t>
      </w:r>
      <w:r w:rsidR="006461B6">
        <w:rPr>
          <w:rFonts w:ascii="Times New Roman" w:hAnsi="Times New Roman"/>
          <w:sz w:val="26"/>
          <w:szCs w:val="26"/>
        </w:rPr>
        <w:t xml:space="preserve">  46% -  такую долю занимаю</w:t>
      </w:r>
      <w:r w:rsidR="00082DD0">
        <w:rPr>
          <w:rFonts w:ascii="Times New Roman" w:hAnsi="Times New Roman"/>
          <w:sz w:val="26"/>
          <w:szCs w:val="26"/>
        </w:rPr>
        <w:t>т</w:t>
      </w:r>
      <w:r w:rsidR="006461B6">
        <w:rPr>
          <w:rFonts w:ascii="Times New Roman" w:hAnsi="Times New Roman"/>
          <w:sz w:val="26"/>
          <w:szCs w:val="26"/>
        </w:rPr>
        <w:t xml:space="preserve"> расходы, финансируемые в форме государственного заказа, в общем объеме расходов </w:t>
      </w:r>
      <w:r w:rsidR="008F67B1">
        <w:rPr>
          <w:rFonts w:ascii="Times New Roman" w:hAnsi="Times New Roman"/>
          <w:sz w:val="26"/>
          <w:szCs w:val="26"/>
        </w:rPr>
        <w:t>консолидированных</w:t>
      </w:r>
      <w:r w:rsidR="006461B6">
        <w:rPr>
          <w:rFonts w:ascii="Times New Roman" w:hAnsi="Times New Roman"/>
          <w:sz w:val="26"/>
          <w:szCs w:val="26"/>
        </w:rPr>
        <w:t xml:space="preserve"> бюджетов регионов на социальное обслуживание население. Соответственно, площадь </w:t>
      </w:r>
      <w:r w:rsidR="00082DD0">
        <w:rPr>
          <w:rFonts w:ascii="Times New Roman" w:hAnsi="Times New Roman"/>
          <w:sz w:val="26"/>
          <w:szCs w:val="26"/>
        </w:rPr>
        <w:t xml:space="preserve">светлой области (сверху) </w:t>
      </w:r>
      <w:r w:rsidR="008F67B1">
        <w:rPr>
          <w:rFonts w:ascii="Times New Roman" w:hAnsi="Times New Roman"/>
          <w:sz w:val="26"/>
          <w:szCs w:val="26"/>
        </w:rPr>
        <w:t>равна</w:t>
      </w:r>
      <w:r w:rsidR="00082DD0">
        <w:rPr>
          <w:rFonts w:ascii="Times New Roman" w:hAnsi="Times New Roman"/>
          <w:sz w:val="26"/>
          <w:szCs w:val="26"/>
        </w:rPr>
        <w:t xml:space="preserve">  54%.</w:t>
      </w:r>
    </w:p>
    <w:p w:rsidR="00082DD0" w:rsidRDefault="00082DD0" w:rsidP="00A40D6C">
      <w:pPr>
        <w:pStyle w:val="ac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Длинная </w:t>
      </w:r>
      <w:r w:rsidR="008F67B1">
        <w:rPr>
          <w:rFonts w:ascii="Times New Roman" w:hAnsi="Times New Roman"/>
          <w:sz w:val="26"/>
          <w:szCs w:val="26"/>
        </w:rPr>
        <w:t>плоская</w:t>
      </w:r>
      <w:r>
        <w:rPr>
          <w:rFonts w:ascii="Times New Roman" w:hAnsi="Times New Roman"/>
          <w:sz w:val="26"/>
          <w:szCs w:val="26"/>
        </w:rPr>
        <w:t xml:space="preserve"> «ступень» в левой части графика – это </w:t>
      </w:r>
      <w:r w:rsidR="00F346D2">
        <w:rPr>
          <w:rFonts w:ascii="Times New Roman" w:hAnsi="Times New Roman"/>
          <w:sz w:val="26"/>
          <w:szCs w:val="26"/>
        </w:rPr>
        <w:t>город Москва, н</w:t>
      </w:r>
      <w:r>
        <w:rPr>
          <w:rFonts w:ascii="Times New Roman" w:hAnsi="Times New Roman"/>
          <w:sz w:val="26"/>
          <w:szCs w:val="26"/>
        </w:rPr>
        <w:t xml:space="preserve">а долю которого приходится  более 50% всех расходов консолидированных бюджетов регионов на социальное обслуживание  населения. </w:t>
      </w:r>
      <w:r w:rsidR="008F67B1">
        <w:rPr>
          <w:rFonts w:ascii="Times New Roman" w:hAnsi="Times New Roman"/>
          <w:sz w:val="26"/>
          <w:szCs w:val="26"/>
        </w:rPr>
        <w:t xml:space="preserve">Доля госзаказа в расходах г. Москвы на социальное обслуживание составляет всего 19,8% - это четвертый результат с конца, после Кабардино-Балкарии (доля госзаданий - 0%, доля в общих расходах на социальное обслуживание – 0,6%), Астраханской области (доля госзаданий - 10%, доля в  общих расходах на социальное обслуживание – 0,4%) и Костромской области (для госзаданий – 16%, доля в общих расходах на социальное обслуживание – 0,2%). </w:t>
      </w:r>
      <w:r w:rsidR="00F346D2">
        <w:rPr>
          <w:rFonts w:ascii="Times New Roman" w:hAnsi="Times New Roman"/>
          <w:sz w:val="26"/>
          <w:szCs w:val="26"/>
        </w:rPr>
        <w:t xml:space="preserve">В большинстве регионов </w:t>
      </w:r>
      <w:r w:rsidR="008F67B1">
        <w:rPr>
          <w:rFonts w:ascii="Times New Roman" w:hAnsi="Times New Roman"/>
          <w:sz w:val="26"/>
          <w:szCs w:val="26"/>
        </w:rPr>
        <w:t>России</w:t>
      </w:r>
      <w:r w:rsidR="00F346D2">
        <w:rPr>
          <w:rFonts w:ascii="Times New Roman" w:hAnsi="Times New Roman"/>
          <w:sz w:val="26"/>
          <w:szCs w:val="26"/>
        </w:rPr>
        <w:t xml:space="preserve"> (в </w:t>
      </w:r>
      <w:r w:rsidR="00F346D2">
        <w:rPr>
          <w:rFonts w:ascii="Times New Roman" w:hAnsi="Times New Roman"/>
          <w:sz w:val="26"/>
          <w:szCs w:val="26"/>
        </w:rPr>
        <w:lastRenderedPageBreak/>
        <w:t>70 регионах из 82, не считая Ненецкого АО) доля расходо</w:t>
      </w:r>
      <w:r w:rsidR="00C24BD3">
        <w:rPr>
          <w:rFonts w:ascii="Times New Roman" w:hAnsi="Times New Roman"/>
          <w:sz w:val="26"/>
          <w:szCs w:val="26"/>
        </w:rPr>
        <w:t>в на социальное обслуживание, п</w:t>
      </w:r>
      <w:r w:rsidR="00F346D2">
        <w:rPr>
          <w:rFonts w:ascii="Times New Roman" w:hAnsi="Times New Roman"/>
          <w:sz w:val="26"/>
          <w:szCs w:val="26"/>
        </w:rPr>
        <w:t>р</w:t>
      </w:r>
      <w:r w:rsidR="00C24BD3">
        <w:rPr>
          <w:rFonts w:ascii="Times New Roman" w:hAnsi="Times New Roman"/>
          <w:sz w:val="26"/>
          <w:szCs w:val="26"/>
        </w:rPr>
        <w:t>е</w:t>
      </w:r>
      <w:r w:rsidR="00F346D2">
        <w:rPr>
          <w:rFonts w:ascii="Times New Roman" w:hAnsi="Times New Roman"/>
          <w:sz w:val="26"/>
          <w:szCs w:val="26"/>
        </w:rPr>
        <w:t>вышает 50%. Медианное значение этой доли равно 80%.</w:t>
      </w:r>
    </w:p>
    <w:p w:rsidR="00C24BD3" w:rsidRDefault="00C24BD3" w:rsidP="00A40D6C">
      <w:pPr>
        <w:pStyle w:val="ac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Это значит, что </w:t>
      </w:r>
      <w:r w:rsidR="008F67B1">
        <w:rPr>
          <w:rFonts w:ascii="Times New Roman" w:hAnsi="Times New Roman"/>
          <w:sz w:val="26"/>
          <w:szCs w:val="26"/>
        </w:rPr>
        <w:t>большинство</w:t>
      </w:r>
      <w:r>
        <w:rPr>
          <w:rFonts w:ascii="Times New Roman" w:hAnsi="Times New Roman"/>
          <w:sz w:val="26"/>
          <w:szCs w:val="26"/>
        </w:rPr>
        <w:t xml:space="preserve"> регионов в явном виде формулируют задания по объему и качеству услуг социальной </w:t>
      </w:r>
      <w:r w:rsidR="008F67B1">
        <w:rPr>
          <w:rFonts w:ascii="Times New Roman" w:hAnsi="Times New Roman"/>
          <w:sz w:val="26"/>
          <w:szCs w:val="26"/>
        </w:rPr>
        <w:t>защиты,</w:t>
      </w:r>
      <w:r>
        <w:rPr>
          <w:rFonts w:ascii="Times New Roman" w:hAnsi="Times New Roman"/>
          <w:sz w:val="26"/>
          <w:szCs w:val="26"/>
        </w:rPr>
        <w:t xml:space="preserve"> которые должны производить учреждения и организация, занимающиеся социальным обслуживанием населения. При наличии должным образом поставленного государственного (муниципального) </w:t>
      </w:r>
      <w:r w:rsidR="008F67B1">
        <w:rPr>
          <w:rFonts w:ascii="Times New Roman" w:hAnsi="Times New Roman"/>
          <w:sz w:val="26"/>
          <w:szCs w:val="26"/>
        </w:rPr>
        <w:t>контроля</w:t>
      </w:r>
      <w:r>
        <w:rPr>
          <w:rFonts w:ascii="Times New Roman" w:hAnsi="Times New Roman"/>
          <w:sz w:val="26"/>
          <w:szCs w:val="26"/>
        </w:rPr>
        <w:t xml:space="preserve"> за выполнением </w:t>
      </w:r>
      <w:r w:rsidR="008F67B1">
        <w:rPr>
          <w:rFonts w:ascii="Times New Roman" w:hAnsi="Times New Roman"/>
          <w:sz w:val="26"/>
          <w:szCs w:val="26"/>
        </w:rPr>
        <w:t>государственных</w:t>
      </w:r>
      <w:r>
        <w:rPr>
          <w:rFonts w:ascii="Times New Roman" w:hAnsi="Times New Roman"/>
          <w:sz w:val="26"/>
          <w:szCs w:val="26"/>
        </w:rPr>
        <w:t xml:space="preserve"> (</w:t>
      </w:r>
      <w:r w:rsidR="008F67B1">
        <w:rPr>
          <w:rFonts w:ascii="Times New Roman" w:hAnsi="Times New Roman"/>
          <w:sz w:val="26"/>
          <w:szCs w:val="26"/>
        </w:rPr>
        <w:t>муниципальных</w:t>
      </w:r>
      <w:r>
        <w:rPr>
          <w:rFonts w:ascii="Times New Roman" w:hAnsi="Times New Roman"/>
          <w:sz w:val="26"/>
          <w:szCs w:val="26"/>
        </w:rPr>
        <w:t xml:space="preserve">) заданий это должно служить </w:t>
      </w:r>
      <w:r w:rsidR="008F67B1">
        <w:rPr>
          <w:rFonts w:ascii="Times New Roman" w:hAnsi="Times New Roman"/>
          <w:sz w:val="26"/>
          <w:szCs w:val="26"/>
        </w:rPr>
        <w:t>гарантией</w:t>
      </w:r>
      <w:r>
        <w:rPr>
          <w:rFonts w:ascii="Times New Roman" w:hAnsi="Times New Roman"/>
          <w:sz w:val="26"/>
          <w:szCs w:val="26"/>
        </w:rPr>
        <w:t xml:space="preserve"> качества </w:t>
      </w:r>
      <w:r w:rsidR="008F67B1">
        <w:rPr>
          <w:rFonts w:ascii="Times New Roman" w:hAnsi="Times New Roman"/>
          <w:sz w:val="26"/>
          <w:szCs w:val="26"/>
        </w:rPr>
        <w:t>производимых</w:t>
      </w:r>
      <w:r>
        <w:rPr>
          <w:rFonts w:ascii="Times New Roman" w:hAnsi="Times New Roman"/>
          <w:sz w:val="26"/>
          <w:szCs w:val="26"/>
        </w:rPr>
        <w:t xml:space="preserve"> социальных услуг.</w:t>
      </w:r>
    </w:p>
    <w:p w:rsidR="00492295" w:rsidRPr="00CB5E33" w:rsidRDefault="00492295" w:rsidP="00CB5E33">
      <w:pPr>
        <w:pStyle w:val="1"/>
        <w:rPr>
          <w:i/>
          <w:sz w:val="26"/>
          <w:szCs w:val="26"/>
          <w:lang w:val="ru-RU"/>
        </w:rPr>
      </w:pPr>
      <w:bookmarkStart w:id="7" w:name="_Toc383442172"/>
      <w:r w:rsidRPr="00CB5E33">
        <w:rPr>
          <w:i/>
          <w:sz w:val="26"/>
          <w:szCs w:val="26"/>
          <w:lang w:val="ru-RU"/>
        </w:rPr>
        <w:t>Краткие выводы</w:t>
      </w:r>
      <w:bookmarkEnd w:id="7"/>
      <w:r w:rsidR="008F67B1">
        <w:rPr>
          <w:i/>
          <w:sz w:val="26"/>
          <w:szCs w:val="26"/>
          <w:lang w:val="ru-RU"/>
        </w:rPr>
        <w:t xml:space="preserve"> </w:t>
      </w:r>
    </w:p>
    <w:p w:rsidR="00492295" w:rsidRPr="00CB5E33" w:rsidRDefault="00492295" w:rsidP="00A40D6C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CB5E33">
        <w:rPr>
          <w:rFonts w:ascii="Times New Roman" w:hAnsi="Times New Roman"/>
          <w:sz w:val="26"/>
          <w:szCs w:val="26"/>
        </w:rPr>
        <w:t xml:space="preserve">Представленный выше сравнительный анализ расходов регионов на финансирование услуг </w:t>
      </w:r>
      <w:r w:rsidR="00311A96">
        <w:rPr>
          <w:rFonts w:ascii="Times New Roman" w:hAnsi="Times New Roman"/>
          <w:sz w:val="26"/>
          <w:szCs w:val="26"/>
        </w:rPr>
        <w:t xml:space="preserve">социального обслуживание населения </w:t>
      </w:r>
      <w:r w:rsidRPr="00CB5E33">
        <w:rPr>
          <w:rFonts w:ascii="Times New Roman" w:hAnsi="Times New Roman"/>
          <w:sz w:val="26"/>
          <w:szCs w:val="26"/>
        </w:rPr>
        <w:t xml:space="preserve">позволяет сделать </w:t>
      </w:r>
      <w:r w:rsidR="00497988" w:rsidRPr="00CB5E33">
        <w:rPr>
          <w:rFonts w:ascii="Times New Roman" w:hAnsi="Times New Roman"/>
          <w:sz w:val="26"/>
          <w:szCs w:val="26"/>
        </w:rPr>
        <w:t>следующие</w:t>
      </w:r>
      <w:r w:rsidRPr="00CB5E33">
        <w:rPr>
          <w:rFonts w:ascii="Times New Roman" w:hAnsi="Times New Roman"/>
          <w:sz w:val="26"/>
          <w:szCs w:val="26"/>
        </w:rPr>
        <w:t xml:space="preserve"> выводы:</w:t>
      </w:r>
    </w:p>
    <w:p w:rsidR="00311A96" w:rsidRDefault="00311A96" w:rsidP="00A40D6C">
      <w:pPr>
        <w:pStyle w:val="ac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Рассчитать и сравнить о</w:t>
      </w:r>
      <w:r w:rsidR="00492295" w:rsidRPr="00CB5E33">
        <w:rPr>
          <w:rFonts w:ascii="Times New Roman" w:hAnsi="Times New Roman"/>
          <w:sz w:val="26"/>
          <w:szCs w:val="26"/>
        </w:rPr>
        <w:t xml:space="preserve">бъем расходов на одного </w:t>
      </w:r>
      <w:r w:rsidR="00497988" w:rsidRPr="00CB5E33">
        <w:rPr>
          <w:rFonts w:ascii="Times New Roman" w:hAnsi="Times New Roman"/>
          <w:sz w:val="26"/>
          <w:szCs w:val="26"/>
        </w:rPr>
        <w:t>получателя</w:t>
      </w:r>
      <w:r w:rsidR="00492295" w:rsidRPr="00CB5E33">
        <w:rPr>
          <w:rFonts w:ascii="Times New Roman" w:hAnsi="Times New Roman"/>
          <w:sz w:val="26"/>
          <w:szCs w:val="26"/>
        </w:rPr>
        <w:t xml:space="preserve"> услуг </w:t>
      </w:r>
      <w:r>
        <w:rPr>
          <w:rFonts w:ascii="Times New Roman" w:hAnsi="Times New Roman"/>
          <w:sz w:val="26"/>
          <w:szCs w:val="26"/>
        </w:rPr>
        <w:t xml:space="preserve">социального обслуживания по регионам невозможно, поскольку регионы используют разные методологические подходы для определения численности получателей услуг социальной защиты, что приводит к несопоставимости данных о численности клиентов, получивших услуги, по регионам. Учет бюджетных расходов на социальное обслуживание в разрезе социальных услуг </w:t>
      </w:r>
      <w:r w:rsidR="00C24BD3">
        <w:rPr>
          <w:rFonts w:ascii="Times New Roman" w:hAnsi="Times New Roman"/>
          <w:sz w:val="26"/>
          <w:szCs w:val="26"/>
        </w:rPr>
        <w:t>не ведется</w:t>
      </w:r>
      <w:r>
        <w:rPr>
          <w:rFonts w:ascii="Times New Roman" w:hAnsi="Times New Roman"/>
          <w:sz w:val="26"/>
          <w:szCs w:val="26"/>
        </w:rPr>
        <w:t xml:space="preserve">: по каждому региону известна лишь общая </w:t>
      </w:r>
      <w:r w:rsidR="00A31818">
        <w:rPr>
          <w:rFonts w:ascii="Times New Roman" w:hAnsi="Times New Roman"/>
          <w:sz w:val="26"/>
          <w:szCs w:val="26"/>
        </w:rPr>
        <w:t>сумма расходов на  социальное обслуживание.  Указанные недостатки учета не позволяют сравнивать регионы ни по объему затрат на конкретные виды услуг социального обслуживания, ни по составу эт</w:t>
      </w:r>
      <w:r w:rsidR="00C24BD3">
        <w:rPr>
          <w:rFonts w:ascii="Times New Roman" w:hAnsi="Times New Roman"/>
          <w:sz w:val="26"/>
          <w:szCs w:val="26"/>
        </w:rPr>
        <w:t>и</w:t>
      </w:r>
      <w:r w:rsidR="00A31818">
        <w:rPr>
          <w:rFonts w:ascii="Times New Roman" w:hAnsi="Times New Roman"/>
          <w:sz w:val="26"/>
          <w:szCs w:val="26"/>
        </w:rPr>
        <w:t xml:space="preserve">х услуг.  </w:t>
      </w:r>
      <w:r w:rsidR="00C24BD3">
        <w:rPr>
          <w:rFonts w:ascii="Times New Roman" w:hAnsi="Times New Roman"/>
          <w:sz w:val="26"/>
          <w:szCs w:val="26"/>
        </w:rPr>
        <w:t xml:space="preserve">Таким образом, </w:t>
      </w:r>
      <w:r w:rsidR="00A31818">
        <w:rPr>
          <w:rFonts w:ascii="Times New Roman" w:hAnsi="Times New Roman"/>
          <w:sz w:val="26"/>
          <w:szCs w:val="26"/>
        </w:rPr>
        <w:t>сравнительный анализ региональных политик в области социально</w:t>
      </w:r>
      <w:r w:rsidR="00C24BD3">
        <w:rPr>
          <w:rFonts w:ascii="Times New Roman" w:hAnsi="Times New Roman"/>
          <w:sz w:val="26"/>
          <w:szCs w:val="26"/>
        </w:rPr>
        <w:t xml:space="preserve">го обслуживания населения </w:t>
      </w:r>
      <w:r w:rsidR="00A31818">
        <w:rPr>
          <w:rFonts w:ascii="Times New Roman" w:hAnsi="Times New Roman"/>
          <w:sz w:val="26"/>
          <w:szCs w:val="26"/>
        </w:rPr>
        <w:t>приходи</w:t>
      </w:r>
      <w:r w:rsidR="00C24BD3">
        <w:rPr>
          <w:rFonts w:ascii="Times New Roman" w:hAnsi="Times New Roman"/>
          <w:sz w:val="26"/>
          <w:szCs w:val="26"/>
        </w:rPr>
        <w:t>т</w:t>
      </w:r>
      <w:r w:rsidR="00A31818">
        <w:rPr>
          <w:rFonts w:ascii="Times New Roman" w:hAnsi="Times New Roman"/>
          <w:sz w:val="26"/>
          <w:szCs w:val="26"/>
        </w:rPr>
        <w:t>ся ограничивать объемом расходов на социальное обслуживание население в расчете на одного жителя.</w:t>
      </w:r>
    </w:p>
    <w:p w:rsidR="00492295" w:rsidRPr="006335F8" w:rsidRDefault="008F67B1" w:rsidP="00A40D6C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6335F8">
        <w:rPr>
          <w:rFonts w:ascii="Times New Roman" w:hAnsi="Times New Roman"/>
          <w:sz w:val="26"/>
          <w:szCs w:val="26"/>
        </w:rPr>
        <w:t>Показатель  объема расходов на социальное обслуживание населения в расчете на одного жителя варьирует по регионам от 192 руб. на одного жителя в год до 4 450 руб. в год, причем бюджетная обеспеченность региона объясняет не более 55% вариации этого показателя, т.е. бюджетная обеспеченность не слишком сильно влияет на объем расходов на социальное обслуживание в расчете на одного жителя, но.</w:t>
      </w:r>
    </w:p>
    <w:p w:rsidR="00492295" w:rsidRPr="006335F8" w:rsidRDefault="008F67B1" w:rsidP="00A40D6C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6335F8">
        <w:rPr>
          <w:rFonts w:ascii="Times New Roman" w:hAnsi="Times New Roman"/>
          <w:sz w:val="26"/>
          <w:szCs w:val="26"/>
        </w:rPr>
        <w:t xml:space="preserve">Доступность  услуг социальной защиты по регионам также не удается проанализировать из-за упомянутых выше методологических различий в оценке регионами  объема предоставленных населению услуг. </w:t>
      </w:r>
    </w:p>
    <w:p w:rsidR="000B63A9" w:rsidRPr="006335F8" w:rsidRDefault="00C24BD3" w:rsidP="00A40D6C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6335F8">
        <w:rPr>
          <w:rFonts w:ascii="Times New Roman" w:hAnsi="Times New Roman"/>
          <w:sz w:val="26"/>
          <w:szCs w:val="26"/>
        </w:rPr>
        <w:t>Большинство регион</w:t>
      </w:r>
      <w:r w:rsidR="000B63A9" w:rsidRPr="006335F8">
        <w:rPr>
          <w:rFonts w:ascii="Times New Roman" w:hAnsi="Times New Roman"/>
          <w:sz w:val="26"/>
          <w:szCs w:val="26"/>
        </w:rPr>
        <w:t>ов</w:t>
      </w:r>
      <w:r w:rsidRPr="006335F8">
        <w:rPr>
          <w:rFonts w:ascii="Times New Roman" w:hAnsi="Times New Roman"/>
          <w:sz w:val="26"/>
          <w:szCs w:val="26"/>
        </w:rPr>
        <w:t xml:space="preserve"> использую</w:t>
      </w:r>
      <w:r w:rsidR="000B63A9" w:rsidRPr="006335F8">
        <w:rPr>
          <w:rFonts w:ascii="Times New Roman" w:hAnsi="Times New Roman"/>
          <w:sz w:val="26"/>
          <w:szCs w:val="26"/>
        </w:rPr>
        <w:t>т</w:t>
      </w:r>
      <w:r w:rsidRPr="006335F8">
        <w:rPr>
          <w:rFonts w:ascii="Times New Roman" w:hAnsi="Times New Roman"/>
          <w:sz w:val="26"/>
          <w:szCs w:val="26"/>
        </w:rPr>
        <w:t xml:space="preserve"> для финансирования социального обслуживания населения механизм государственных </w:t>
      </w:r>
      <w:r w:rsidR="008F67B1" w:rsidRPr="006335F8">
        <w:rPr>
          <w:rFonts w:ascii="Times New Roman" w:hAnsi="Times New Roman"/>
          <w:sz w:val="26"/>
          <w:szCs w:val="26"/>
        </w:rPr>
        <w:t>заданий в</w:t>
      </w:r>
      <w:r w:rsidRPr="006335F8">
        <w:rPr>
          <w:rFonts w:ascii="Times New Roman" w:hAnsi="Times New Roman"/>
          <w:sz w:val="26"/>
          <w:szCs w:val="26"/>
        </w:rPr>
        <w:t xml:space="preserve"> качестве</w:t>
      </w:r>
      <w:r w:rsidR="000B63A9" w:rsidRPr="006335F8">
        <w:rPr>
          <w:rFonts w:ascii="Times New Roman" w:hAnsi="Times New Roman"/>
          <w:sz w:val="26"/>
          <w:szCs w:val="26"/>
        </w:rPr>
        <w:t xml:space="preserve"> основного канала</w:t>
      </w:r>
      <w:r w:rsidR="008F67B1" w:rsidRPr="006335F8">
        <w:rPr>
          <w:rFonts w:ascii="Times New Roman" w:hAnsi="Times New Roman"/>
          <w:sz w:val="26"/>
          <w:szCs w:val="26"/>
        </w:rPr>
        <w:t>:</w:t>
      </w:r>
      <w:r w:rsidRPr="006335F8">
        <w:rPr>
          <w:rFonts w:ascii="Times New Roman" w:hAnsi="Times New Roman"/>
          <w:sz w:val="26"/>
          <w:szCs w:val="26"/>
        </w:rPr>
        <w:t xml:space="preserve"> в 70 регионах из </w:t>
      </w:r>
      <w:r w:rsidR="000B63A9" w:rsidRPr="006335F8">
        <w:rPr>
          <w:rFonts w:ascii="Times New Roman" w:hAnsi="Times New Roman"/>
          <w:sz w:val="26"/>
          <w:szCs w:val="26"/>
        </w:rPr>
        <w:t xml:space="preserve">83  более 50% расходов на социальное облуживание населения </w:t>
      </w:r>
      <w:r w:rsidR="008F67B1" w:rsidRPr="006335F8">
        <w:rPr>
          <w:rFonts w:ascii="Times New Roman" w:hAnsi="Times New Roman"/>
          <w:sz w:val="26"/>
          <w:szCs w:val="26"/>
        </w:rPr>
        <w:t>финансируются</w:t>
      </w:r>
      <w:r w:rsidR="000B63A9" w:rsidRPr="006335F8">
        <w:rPr>
          <w:rFonts w:ascii="Times New Roman" w:hAnsi="Times New Roman"/>
          <w:sz w:val="26"/>
          <w:szCs w:val="26"/>
        </w:rPr>
        <w:t xml:space="preserve"> через механизм </w:t>
      </w:r>
      <w:r w:rsidR="008F67B1" w:rsidRPr="006335F8">
        <w:rPr>
          <w:rFonts w:ascii="Times New Roman" w:hAnsi="Times New Roman"/>
          <w:sz w:val="26"/>
          <w:szCs w:val="26"/>
        </w:rPr>
        <w:t>государственных</w:t>
      </w:r>
      <w:r w:rsidR="000B63A9" w:rsidRPr="006335F8">
        <w:rPr>
          <w:rFonts w:ascii="Times New Roman" w:hAnsi="Times New Roman"/>
          <w:sz w:val="26"/>
          <w:szCs w:val="26"/>
        </w:rPr>
        <w:t xml:space="preserve"> заданий («200 000 1002 0000000 000</w:t>
      </w:r>
      <w:r w:rsidR="007F3157">
        <w:rPr>
          <w:rFonts w:ascii="Times New Roman" w:hAnsi="Times New Roman"/>
          <w:sz w:val="26"/>
          <w:szCs w:val="26"/>
        </w:rPr>
        <w:t> </w:t>
      </w:r>
      <w:r w:rsidR="000B63A9" w:rsidRPr="006335F8">
        <w:rPr>
          <w:rFonts w:ascii="Times New Roman" w:hAnsi="Times New Roman"/>
          <w:sz w:val="26"/>
          <w:szCs w:val="26"/>
        </w:rPr>
        <w:t>240</w:t>
      </w:r>
      <w:r w:rsidR="007F3157">
        <w:rPr>
          <w:rFonts w:ascii="Times New Roman" w:hAnsi="Times New Roman"/>
          <w:sz w:val="26"/>
          <w:szCs w:val="26"/>
        </w:rPr>
        <w:t xml:space="preserve"> </w:t>
      </w:r>
      <w:r w:rsidR="000B63A9" w:rsidRPr="006335F8">
        <w:rPr>
          <w:rFonts w:ascii="Times New Roman" w:hAnsi="Times New Roman"/>
          <w:sz w:val="26"/>
          <w:szCs w:val="26"/>
        </w:rPr>
        <w:t>Безвозмездные перечисления организациям »). Тем не менее</w:t>
      </w:r>
      <w:r w:rsidR="008F67B1" w:rsidRPr="006335F8">
        <w:rPr>
          <w:rFonts w:ascii="Times New Roman" w:hAnsi="Times New Roman"/>
          <w:sz w:val="26"/>
          <w:szCs w:val="26"/>
        </w:rPr>
        <w:t>,</w:t>
      </w:r>
      <w:r w:rsidR="000B63A9" w:rsidRPr="006335F8">
        <w:rPr>
          <w:rFonts w:ascii="Times New Roman" w:hAnsi="Times New Roman"/>
          <w:sz w:val="26"/>
          <w:szCs w:val="26"/>
        </w:rPr>
        <w:t xml:space="preserve"> в общем объеме расходов на социальное обслуживание населения безвозмездные перечисления организациям занимают только 46%: картину портит город Москва,  на который приходится более 50% всех расходов консолидированных </w:t>
      </w:r>
      <w:r w:rsidR="008F67B1" w:rsidRPr="006335F8">
        <w:rPr>
          <w:rFonts w:ascii="Times New Roman" w:hAnsi="Times New Roman"/>
          <w:sz w:val="26"/>
          <w:szCs w:val="26"/>
        </w:rPr>
        <w:t>бюджетов</w:t>
      </w:r>
      <w:r w:rsidR="000B63A9" w:rsidRPr="006335F8">
        <w:rPr>
          <w:rFonts w:ascii="Times New Roman" w:hAnsi="Times New Roman"/>
          <w:sz w:val="26"/>
          <w:szCs w:val="26"/>
        </w:rPr>
        <w:t xml:space="preserve"> регионов на социальную защиту и где через механизм </w:t>
      </w:r>
      <w:r w:rsidR="008F67B1" w:rsidRPr="006335F8">
        <w:rPr>
          <w:rFonts w:ascii="Times New Roman" w:hAnsi="Times New Roman"/>
          <w:sz w:val="26"/>
          <w:szCs w:val="26"/>
        </w:rPr>
        <w:t>государственных</w:t>
      </w:r>
      <w:r w:rsidR="000B63A9" w:rsidRPr="006335F8">
        <w:rPr>
          <w:rFonts w:ascii="Times New Roman" w:hAnsi="Times New Roman"/>
          <w:sz w:val="26"/>
          <w:szCs w:val="26"/>
        </w:rPr>
        <w:t xml:space="preserve"> заданий финансируется только 20% расходов на социальное обслуживание населения. </w:t>
      </w:r>
    </w:p>
    <w:sectPr w:rsidR="000B63A9" w:rsidRPr="006335F8" w:rsidSect="00A6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C9" w:rsidRDefault="00396FC9" w:rsidP="00F661B5">
      <w:pPr>
        <w:spacing w:after="0" w:line="240" w:lineRule="auto"/>
      </w:pPr>
      <w:r>
        <w:separator/>
      </w:r>
    </w:p>
  </w:endnote>
  <w:endnote w:type="continuationSeparator" w:id="0">
    <w:p w:rsidR="00396FC9" w:rsidRDefault="00396FC9" w:rsidP="00F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0965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0699E" w:rsidRPr="00ED281B" w:rsidRDefault="00C0699E">
        <w:pPr>
          <w:pStyle w:val="af"/>
          <w:jc w:val="right"/>
          <w:rPr>
            <w:rFonts w:ascii="Times New Roman" w:hAnsi="Times New Roman" w:cs="Times New Roman"/>
          </w:rPr>
        </w:pPr>
        <w:r w:rsidRPr="00ED281B">
          <w:rPr>
            <w:rFonts w:ascii="Times New Roman" w:hAnsi="Times New Roman" w:cs="Times New Roman"/>
          </w:rPr>
          <w:fldChar w:fldCharType="begin"/>
        </w:r>
        <w:r w:rsidRPr="00ED281B">
          <w:rPr>
            <w:rFonts w:ascii="Times New Roman" w:hAnsi="Times New Roman" w:cs="Times New Roman"/>
          </w:rPr>
          <w:instrText>PAGE   \* MERGEFORMAT</w:instrText>
        </w:r>
        <w:r w:rsidRPr="00ED281B">
          <w:rPr>
            <w:rFonts w:ascii="Times New Roman" w:hAnsi="Times New Roman" w:cs="Times New Roman"/>
          </w:rPr>
          <w:fldChar w:fldCharType="separate"/>
        </w:r>
        <w:r w:rsidR="00093286">
          <w:rPr>
            <w:rFonts w:ascii="Times New Roman" w:hAnsi="Times New Roman" w:cs="Times New Roman"/>
            <w:noProof/>
          </w:rPr>
          <w:t>1</w:t>
        </w:r>
        <w:r w:rsidRPr="00ED281B">
          <w:rPr>
            <w:rFonts w:ascii="Times New Roman" w:hAnsi="Times New Roman" w:cs="Times New Roman"/>
          </w:rPr>
          <w:fldChar w:fldCharType="end"/>
        </w:r>
      </w:p>
    </w:sdtContent>
  </w:sdt>
  <w:p w:rsidR="00C0699E" w:rsidRDefault="00C0699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C9" w:rsidRDefault="00396FC9" w:rsidP="00F661B5">
      <w:pPr>
        <w:spacing w:after="0" w:line="240" w:lineRule="auto"/>
      </w:pPr>
      <w:r>
        <w:separator/>
      </w:r>
    </w:p>
  </w:footnote>
  <w:footnote w:type="continuationSeparator" w:id="0">
    <w:p w:rsidR="00396FC9" w:rsidRDefault="00396FC9" w:rsidP="00F661B5">
      <w:pPr>
        <w:spacing w:after="0" w:line="240" w:lineRule="auto"/>
      </w:pPr>
      <w:r>
        <w:continuationSeparator/>
      </w:r>
    </w:p>
  </w:footnote>
  <w:footnote w:id="1">
    <w:p w:rsidR="00C0699E" w:rsidRPr="005A2ED2" w:rsidRDefault="00C0699E" w:rsidP="005A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ED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A2ED2">
        <w:rPr>
          <w:rFonts w:ascii="Times New Roman" w:hAnsi="Times New Roman" w:cs="Times New Roman"/>
          <w:sz w:val="20"/>
          <w:szCs w:val="20"/>
        </w:rPr>
        <w:t xml:space="preserve"> "Конституция Российской Федерации"  (принята всенародным голосованием 12.12.1993).</w:t>
      </w:r>
    </w:p>
  </w:footnote>
  <w:footnote w:id="2">
    <w:p w:rsidR="00C0699E" w:rsidRPr="005A2ED2" w:rsidRDefault="00C0699E" w:rsidP="005A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ED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A2ED2">
        <w:rPr>
          <w:rFonts w:ascii="Times New Roman" w:hAnsi="Times New Roman" w:cs="Times New Roman"/>
          <w:sz w:val="20"/>
          <w:szCs w:val="20"/>
        </w:rPr>
        <w:t xml:space="preserve"> </w:t>
      </w:r>
      <w:r w:rsidR="008F67B1" w:rsidRPr="005A2ED2">
        <w:rPr>
          <w:rFonts w:ascii="Times New Roman" w:hAnsi="Times New Roman" w:cs="Times New Roman"/>
          <w:sz w:val="20"/>
          <w:szCs w:val="20"/>
        </w:rPr>
        <w:t>Федеральный закон от 06.10.1999 N 184-ФЗ (ред. от 22.10.2013) "Об общих принципах организации законодательных (представительных) и исполнительных органов государственной власти</w:t>
      </w:r>
      <w:r w:rsidR="008F67B1">
        <w:rPr>
          <w:rFonts w:ascii="Times New Roman" w:hAnsi="Times New Roman" w:cs="Times New Roman"/>
          <w:sz w:val="20"/>
          <w:szCs w:val="20"/>
        </w:rPr>
        <w:t xml:space="preserve"> субъектов Российской Федерации</w:t>
      </w:r>
      <w:r w:rsidR="008F67B1" w:rsidRPr="005A2ED2">
        <w:rPr>
          <w:rFonts w:ascii="Times New Roman" w:hAnsi="Times New Roman" w:cs="Times New Roman"/>
          <w:sz w:val="20"/>
          <w:szCs w:val="20"/>
        </w:rPr>
        <w:t>"</w:t>
      </w:r>
      <w:r w:rsidR="008F67B1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C0699E" w:rsidRPr="005A2ED2" w:rsidRDefault="00C0699E" w:rsidP="005A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ED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A2ED2">
        <w:rPr>
          <w:rFonts w:ascii="Times New Roman" w:hAnsi="Times New Roman" w:cs="Times New Roman"/>
          <w:sz w:val="20"/>
          <w:szCs w:val="20"/>
        </w:rPr>
        <w:t xml:space="preserve"> Федеральный закон от 06.10.2003 N 131-ФЗ  (ред. от 02.11.2013) "Об общих принципах организации местного самоуправления в Российской Федерации".</w:t>
      </w:r>
    </w:p>
  </w:footnote>
  <w:footnote w:id="4">
    <w:p w:rsidR="00C0699E" w:rsidRPr="00AA016C" w:rsidRDefault="00C0699E" w:rsidP="00AA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ED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A2ED2">
        <w:rPr>
          <w:rStyle w:val="a6"/>
          <w:rFonts w:ascii="Times New Roman" w:hAnsi="Times New Roman" w:cs="Times New Roman"/>
        </w:rPr>
        <w:t xml:space="preserve"> </w:t>
      </w:r>
      <w:r w:rsidRPr="00AA016C">
        <w:rPr>
          <w:rFonts w:ascii="Times New Roman" w:hAnsi="Times New Roman" w:cs="Times New Roman"/>
          <w:sz w:val="20"/>
          <w:szCs w:val="20"/>
        </w:rPr>
        <w:t>Федеральный закон от 10.12.1995 N 195-ФЗ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16C">
        <w:rPr>
          <w:rFonts w:ascii="Times New Roman" w:hAnsi="Times New Roman" w:cs="Times New Roman"/>
          <w:sz w:val="20"/>
          <w:szCs w:val="20"/>
        </w:rPr>
        <w:t>(ред. от 25.11.2013)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16C">
        <w:rPr>
          <w:rFonts w:ascii="Times New Roman" w:hAnsi="Times New Roman" w:cs="Times New Roman"/>
          <w:sz w:val="20"/>
          <w:szCs w:val="20"/>
        </w:rPr>
        <w:t>"Об основах социального обслуживания населения в Российской Федерации"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5">
    <w:p w:rsidR="005007A7" w:rsidRDefault="005007A7" w:rsidP="005007A7">
      <w:pPr>
        <w:pStyle w:val="a4"/>
      </w:pPr>
      <w:r>
        <w:rPr>
          <w:rStyle w:val="a6"/>
        </w:rPr>
        <w:footnoteRef/>
      </w:r>
      <w:r>
        <w:t xml:space="preserve"> </w:t>
      </w:r>
      <w:r w:rsidRPr="00C366A6">
        <w:rPr>
          <w:rFonts w:ascii="Times New Roman" w:hAnsi="Times New Roman" w:cs="Times New Roman"/>
        </w:rPr>
        <w:t>В</w:t>
      </w:r>
      <w:r w:rsidRPr="00C366A6">
        <w:rPr>
          <w:rFonts w:ascii="Times New Roman" w:hAnsi="Times New Roman" w:cs="Times New Roman"/>
          <w:bCs/>
        </w:rPr>
        <w:t>ключая расходы на социа</w:t>
      </w:r>
      <w:r w:rsidRPr="00C366A6">
        <w:rPr>
          <w:rFonts w:ascii="Times New Roman" w:eastAsia="Times New Roman" w:hAnsi="Times New Roman" w:cs="Times New Roman"/>
          <w:lang w:eastAsia="ru-RU"/>
        </w:rPr>
        <w:t>л</w:t>
      </w:r>
      <w:r w:rsidRPr="00C366A6">
        <w:rPr>
          <w:rFonts w:ascii="Times New Roman" w:hAnsi="Times New Roman" w:cs="Times New Roman"/>
          <w:bCs/>
        </w:rPr>
        <w:t>ьное обеспечение, включаемые в бюджетной отчетности в подраздел 1002 – Социальное обслуживание насленения).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68E"/>
    <w:multiLevelType w:val="hybridMultilevel"/>
    <w:tmpl w:val="DA3A9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3331"/>
    <w:multiLevelType w:val="hybridMultilevel"/>
    <w:tmpl w:val="847E4EA0"/>
    <w:lvl w:ilvl="0" w:tplc="4406FB20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6362E"/>
    <w:multiLevelType w:val="hybridMultilevel"/>
    <w:tmpl w:val="B2FE3702"/>
    <w:lvl w:ilvl="0" w:tplc="C4ACA9D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835327"/>
    <w:multiLevelType w:val="hybridMultilevel"/>
    <w:tmpl w:val="9ABCCE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89C311E"/>
    <w:multiLevelType w:val="hybridMultilevel"/>
    <w:tmpl w:val="7682F95A"/>
    <w:lvl w:ilvl="0" w:tplc="F376A41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C1466"/>
    <w:multiLevelType w:val="hybridMultilevel"/>
    <w:tmpl w:val="8C4A83F4"/>
    <w:lvl w:ilvl="0" w:tplc="C4ACA9D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0DB6C64"/>
    <w:multiLevelType w:val="hybridMultilevel"/>
    <w:tmpl w:val="04F208B6"/>
    <w:lvl w:ilvl="0" w:tplc="0419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334922D4"/>
    <w:multiLevelType w:val="hybridMultilevel"/>
    <w:tmpl w:val="4EA44E36"/>
    <w:lvl w:ilvl="0" w:tplc="EC5043BE">
      <w:start w:val="20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6C54D9"/>
    <w:multiLevelType w:val="hybridMultilevel"/>
    <w:tmpl w:val="8F0C5FD0"/>
    <w:lvl w:ilvl="0" w:tplc="C4ACA9DC">
      <w:numFmt w:val="bullet"/>
      <w:lvlText w:val="-"/>
      <w:lvlJc w:val="left"/>
      <w:pPr>
        <w:ind w:left="16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9">
    <w:nsid w:val="48326E36"/>
    <w:multiLevelType w:val="hybridMultilevel"/>
    <w:tmpl w:val="523AD714"/>
    <w:lvl w:ilvl="0" w:tplc="C4ACA9D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A3F1248"/>
    <w:multiLevelType w:val="hybridMultilevel"/>
    <w:tmpl w:val="F9F6F45A"/>
    <w:lvl w:ilvl="0" w:tplc="7CA40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41253"/>
    <w:multiLevelType w:val="hybridMultilevel"/>
    <w:tmpl w:val="CB947CCA"/>
    <w:lvl w:ilvl="0" w:tplc="3C9A3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40269"/>
    <w:multiLevelType w:val="hybridMultilevel"/>
    <w:tmpl w:val="52169668"/>
    <w:lvl w:ilvl="0" w:tplc="C4ACA9D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A8677F3"/>
    <w:multiLevelType w:val="hybridMultilevel"/>
    <w:tmpl w:val="DB24AD66"/>
    <w:lvl w:ilvl="0" w:tplc="C4ACA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36CAF"/>
    <w:multiLevelType w:val="hybridMultilevel"/>
    <w:tmpl w:val="778A8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25027"/>
    <w:multiLevelType w:val="hybridMultilevel"/>
    <w:tmpl w:val="6448BE74"/>
    <w:lvl w:ilvl="0" w:tplc="C4ACA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9082B"/>
    <w:multiLevelType w:val="hybridMultilevel"/>
    <w:tmpl w:val="29727602"/>
    <w:lvl w:ilvl="0" w:tplc="C4ACA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57FE5"/>
    <w:multiLevelType w:val="hybridMultilevel"/>
    <w:tmpl w:val="9542786A"/>
    <w:lvl w:ilvl="0" w:tplc="C4ACA9D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4"/>
  </w:num>
  <w:num w:numId="5">
    <w:abstractNumId w:val="3"/>
  </w:num>
  <w:num w:numId="6">
    <w:abstractNumId w:val="2"/>
  </w:num>
  <w:num w:numId="7">
    <w:abstractNumId w:val="12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16"/>
  </w:num>
  <w:num w:numId="13">
    <w:abstractNumId w:val="0"/>
  </w:num>
  <w:num w:numId="14">
    <w:abstractNumId w:val="17"/>
  </w:num>
  <w:num w:numId="15">
    <w:abstractNumId w:val="6"/>
  </w:num>
  <w:num w:numId="16">
    <w:abstractNumId w:val="1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A5"/>
    <w:rsid w:val="00001D96"/>
    <w:rsid w:val="00011F5C"/>
    <w:rsid w:val="00013A93"/>
    <w:rsid w:val="000272BE"/>
    <w:rsid w:val="00027340"/>
    <w:rsid w:val="00040EC4"/>
    <w:rsid w:val="00057940"/>
    <w:rsid w:val="000630AE"/>
    <w:rsid w:val="0007124C"/>
    <w:rsid w:val="00082DD0"/>
    <w:rsid w:val="00084691"/>
    <w:rsid w:val="00092961"/>
    <w:rsid w:val="00093286"/>
    <w:rsid w:val="00096D78"/>
    <w:rsid w:val="000A0344"/>
    <w:rsid w:val="000A2D73"/>
    <w:rsid w:val="000B63A9"/>
    <w:rsid w:val="000B69C9"/>
    <w:rsid w:val="000E2EE9"/>
    <w:rsid w:val="000E32B0"/>
    <w:rsid w:val="00120BD1"/>
    <w:rsid w:val="00124363"/>
    <w:rsid w:val="001403BA"/>
    <w:rsid w:val="00146488"/>
    <w:rsid w:val="00146871"/>
    <w:rsid w:val="001507A8"/>
    <w:rsid w:val="00167C7F"/>
    <w:rsid w:val="00170ED6"/>
    <w:rsid w:val="001838D0"/>
    <w:rsid w:val="001877D9"/>
    <w:rsid w:val="0019212C"/>
    <w:rsid w:val="001B7973"/>
    <w:rsid w:val="001C557F"/>
    <w:rsid w:val="001E384E"/>
    <w:rsid w:val="00211530"/>
    <w:rsid w:val="002156CA"/>
    <w:rsid w:val="0023153E"/>
    <w:rsid w:val="002433F3"/>
    <w:rsid w:val="002538D3"/>
    <w:rsid w:val="00285DB3"/>
    <w:rsid w:val="00287411"/>
    <w:rsid w:val="0029701F"/>
    <w:rsid w:val="002A76A0"/>
    <w:rsid w:val="002B04E2"/>
    <w:rsid w:val="002B6B8E"/>
    <w:rsid w:val="002C1222"/>
    <w:rsid w:val="002D4FED"/>
    <w:rsid w:val="002F581F"/>
    <w:rsid w:val="0030701B"/>
    <w:rsid w:val="00311A96"/>
    <w:rsid w:val="003173F6"/>
    <w:rsid w:val="00323327"/>
    <w:rsid w:val="00327F4B"/>
    <w:rsid w:val="00333428"/>
    <w:rsid w:val="00362EAE"/>
    <w:rsid w:val="003754B4"/>
    <w:rsid w:val="0037595D"/>
    <w:rsid w:val="00396FC9"/>
    <w:rsid w:val="003B1E41"/>
    <w:rsid w:val="003B2545"/>
    <w:rsid w:val="003B3A8F"/>
    <w:rsid w:val="003B409D"/>
    <w:rsid w:val="003B718C"/>
    <w:rsid w:val="003E31E1"/>
    <w:rsid w:val="003E67CA"/>
    <w:rsid w:val="003F48C6"/>
    <w:rsid w:val="003F4CD7"/>
    <w:rsid w:val="00402E8D"/>
    <w:rsid w:val="00405367"/>
    <w:rsid w:val="00421E0E"/>
    <w:rsid w:val="00456979"/>
    <w:rsid w:val="00457BB9"/>
    <w:rsid w:val="00492295"/>
    <w:rsid w:val="00492BEE"/>
    <w:rsid w:val="00497988"/>
    <w:rsid w:val="004D0684"/>
    <w:rsid w:val="004D1836"/>
    <w:rsid w:val="004E3095"/>
    <w:rsid w:val="004F13E0"/>
    <w:rsid w:val="005007A7"/>
    <w:rsid w:val="005116FF"/>
    <w:rsid w:val="00513748"/>
    <w:rsid w:val="00537496"/>
    <w:rsid w:val="00561FC1"/>
    <w:rsid w:val="005864C2"/>
    <w:rsid w:val="00597701"/>
    <w:rsid w:val="005A2ED2"/>
    <w:rsid w:val="005B48C3"/>
    <w:rsid w:val="005C3FF2"/>
    <w:rsid w:val="005C6D49"/>
    <w:rsid w:val="005E1ABC"/>
    <w:rsid w:val="005E351D"/>
    <w:rsid w:val="005E6465"/>
    <w:rsid w:val="00614980"/>
    <w:rsid w:val="0062560F"/>
    <w:rsid w:val="006270A7"/>
    <w:rsid w:val="006335F8"/>
    <w:rsid w:val="0063796E"/>
    <w:rsid w:val="006461B6"/>
    <w:rsid w:val="006614F0"/>
    <w:rsid w:val="00667854"/>
    <w:rsid w:val="00672ADF"/>
    <w:rsid w:val="006853AB"/>
    <w:rsid w:val="006B37A3"/>
    <w:rsid w:val="006B5397"/>
    <w:rsid w:val="006B61A7"/>
    <w:rsid w:val="006B7A61"/>
    <w:rsid w:val="006B7A62"/>
    <w:rsid w:val="006C22B6"/>
    <w:rsid w:val="006C50C1"/>
    <w:rsid w:val="006C7EAC"/>
    <w:rsid w:val="006D094F"/>
    <w:rsid w:val="006E1777"/>
    <w:rsid w:val="006E199E"/>
    <w:rsid w:val="006E3D6B"/>
    <w:rsid w:val="00701211"/>
    <w:rsid w:val="00705854"/>
    <w:rsid w:val="0071364D"/>
    <w:rsid w:val="00726D77"/>
    <w:rsid w:val="00741B96"/>
    <w:rsid w:val="00741E14"/>
    <w:rsid w:val="007430CE"/>
    <w:rsid w:val="007534B3"/>
    <w:rsid w:val="00756220"/>
    <w:rsid w:val="0076327F"/>
    <w:rsid w:val="00764413"/>
    <w:rsid w:val="00772F12"/>
    <w:rsid w:val="007765BE"/>
    <w:rsid w:val="007826A2"/>
    <w:rsid w:val="007921EB"/>
    <w:rsid w:val="007B5807"/>
    <w:rsid w:val="007D0299"/>
    <w:rsid w:val="007D07D7"/>
    <w:rsid w:val="007D2B58"/>
    <w:rsid w:val="007D7F59"/>
    <w:rsid w:val="007E7E40"/>
    <w:rsid w:val="007F3157"/>
    <w:rsid w:val="007F6BA5"/>
    <w:rsid w:val="008029E5"/>
    <w:rsid w:val="00802ACE"/>
    <w:rsid w:val="00802E45"/>
    <w:rsid w:val="00804E34"/>
    <w:rsid w:val="008107CB"/>
    <w:rsid w:val="00814207"/>
    <w:rsid w:val="008218EE"/>
    <w:rsid w:val="0086522A"/>
    <w:rsid w:val="00872164"/>
    <w:rsid w:val="0087358D"/>
    <w:rsid w:val="00880D72"/>
    <w:rsid w:val="008846C1"/>
    <w:rsid w:val="00885CEA"/>
    <w:rsid w:val="008A05B5"/>
    <w:rsid w:val="008C1D87"/>
    <w:rsid w:val="008C329B"/>
    <w:rsid w:val="008D2D8B"/>
    <w:rsid w:val="008E6FCB"/>
    <w:rsid w:val="008F34BE"/>
    <w:rsid w:val="008F63BE"/>
    <w:rsid w:val="008F67B1"/>
    <w:rsid w:val="009070C9"/>
    <w:rsid w:val="009122E7"/>
    <w:rsid w:val="0092038E"/>
    <w:rsid w:val="00931BA9"/>
    <w:rsid w:val="00934B7C"/>
    <w:rsid w:val="0094157E"/>
    <w:rsid w:val="0094528A"/>
    <w:rsid w:val="0094621E"/>
    <w:rsid w:val="009735E4"/>
    <w:rsid w:val="00986643"/>
    <w:rsid w:val="00995B7B"/>
    <w:rsid w:val="00996F96"/>
    <w:rsid w:val="009A2D32"/>
    <w:rsid w:val="009B315A"/>
    <w:rsid w:val="009C1A13"/>
    <w:rsid w:val="009F5252"/>
    <w:rsid w:val="00A009B2"/>
    <w:rsid w:val="00A03DA1"/>
    <w:rsid w:val="00A1061C"/>
    <w:rsid w:val="00A31818"/>
    <w:rsid w:val="00A40D6C"/>
    <w:rsid w:val="00A432D4"/>
    <w:rsid w:val="00A56A71"/>
    <w:rsid w:val="00A60D08"/>
    <w:rsid w:val="00A612C3"/>
    <w:rsid w:val="00A74A1E"/>
    <w:rsid w:val="00A7599F"/>
    <w:rsid w:val="00AA016C"/>
    <w:rsid w:val="00AB6130"/>
    <w:rsid w:val="00AD6FE0"/>
    <w:rsid w:val="00AE7483"/>
    <w:rsid w:val="00AF6D70"/>
    <w:rsid w:val="00B01633"/>
    <w:rsid w:val="00B03238"/>
    <w:rsid w:val="00B34815"/>
    <w:rsid w:val="00B37224"/>
    <w:rsid w:val="00B531D2"/>
    <w:rsid w:val="00B61FE0"/>
    <w:rsid w:val="00B65E97"/>
    <w:rsid w:val="00B72456"/>
    <w:rsid w:val="00B91F1D"/>
    <w:rsid w:val="00B9752F"/>
    <w:rsid w:val="00BA2AAE"/>
    <w:rsid w:val="00BB71AC"/>
    <w:rsid w:val="00BC2059"/>
    <w:rsid w:val="00BE7357"/>
    <w:rsid w:val="00BF25AF"/>
    <w:rsid w:val="00BF3BB7"/>
    <w:rsid w:val="00C0699E"/>
    <w:rsid w:val="00C10D18"/>
    <w:rsid w:val="00C12373"/>
    <w:rsid w:val="00C13395"/>
    <w:rsid w:val="00C16DE7"/>
    <w:rsid w:val="00C24BD3"/>
    <w:rsid w:val="00C366A6"/>
    <w:rsid w:val="00C42988"/>
    <w:rsid w:val="00C43CB6"/>
    <w:rsid w:val="00C51CF4"/>
    <w:rsid w:val="00C64B84"/>
    <w:rsid w:val="00C66DBC"/>
    <w:rsid w:val="00C75508"/>
    <w:rsid w:val="00C772F4"/>
    <w:rsid w:val="00C8418B"/>
    <w:rsid w:val="00CA2BB9"/>
    <w:rsid w:val="00CA458A"/>
    <w:rsid w:val="00CA57B1"/>
    <w:rsid w:val="00CB5E33"/>
    <w:rsid w:val="00CC1957"/>
    <w:rsid w:val="00CC2EF2"/>
    <w:rsid w:val="00CC7B3B"/>
    <w:rsid w:val="00CD1F6A"/>
    <w:rsid w:val="00CD6C2F"/>
    <w:rsid w:val="00CF5E91"/>
    <w:rsid w:val="00D219C4"/>
    <w:rsid w:val="00D404F9"/>
    <w:rsid w:val="00D43E99"/>
    <w:rsid w:val="00D51FEF"/>
    <w:rsid w:val="00D521D8"/>
    <w:rsid w:val="00D54254"/>
    <w:rsid w:val="00D608B3"/>
    <w:rsid w:val="00D62431"/>
    <w:rsid w:val="00D90B2E"/>
    <w:rsid w:val="00D931E3"/>
    <w:rsid w:val="00D937B0"/>
    <w:rsid w:val="00DA4829"/>
    <w:rsid w:val="00DB05B1"/>
    <w:rsid w:val="00DB61F4"/>
    <w:rsid w:val="00DC0B4A"/>
    <w:rsid w:val="00DD7544"/>
    <w:rsid w:val="00DF3893"/>
    <w:rsid w:val="00E200A5"/>
    <w:rsid w:val="00E3790A"/>
    <w:rsid w:val="00E41F25"/>
    <w:rsid w:val="00E7588D"/>
    <w:rsid w:val="00E86EF6"/>
    <w:rsid w:val="00E91810"/>
    <w:rsid w:val="00EA1A31"/>
    <w:rsid w:val="00EA4A37"/>
    <w:rsid w:val="00EA5DEA"/>
    <w:rsid w:val="00EC1D32"/>
    <w:rsid w:val="00ED1A20"/>
    <w:rsid w:val="00ED281B"/>
    <w:rsid w:val="00EE6593"/>
    <w:rsid w:val="00EF0289"/>
    <w:rsid w:val="00F142A8"/>
    <w:rsid w:val="00F22B25"/>
    <w:rsid w:val="00F346D2"/>
    <w:rsid w:val="00F5723B"/>
    <w:rsid w:val="00F57D3D"/>
    <w:rsid w:val="00F63A09"/>
    <w:rsid w:val="00F661B5"/>
    <w:rsid w:val="00F667E6"/>
    <w:rsid w:val="00FB41BC"/>
    <w:rsid w:val="00FC1C95"/>
    <w:rsid w:val="00FD1F42"/>
    <w:rsid w:val="00FD3171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qFormat/>
    <w:rsid w:val="00D40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661B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61B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61B5"/>
    <w:rPr>
      <w:vertAlign w:val="superscript"/>
    </w:rPr>
  </w:style>
  <w:style w:type="paragraph" w:styleId="a7">
    <w:name w:val="List Paragraph"/>
    <w:basedOn w:val="a"/>
    <w:uiPriority w:val="34"/>
    <w:qFormat/>
    <w:rsid w:val="00D404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04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76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6441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413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5A2ED2"/>
    <w:pPr>
      <w:spacing w:after="100"/>
    </w:pPr>
  </w:style>
  <w:style w:type="paragraph" w:customStyle="1" w:styleId="ac">
    <w:name w:val="Основной текст отчета Знак Знак Знак"/>
    <w:basedOn w:val="a"/>
    <w:rsid w:val="005A2ED2"/>
    <w:pPr>
      <w:spacing w:before="120" w:after="120" w:line="240" w:lineRule="auto"/>
      <w:ind w:firstLine="709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D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D094F"/>
  </w:style>
  <w:style w:type="paragraph" w:styleId="af">
    <w:name w:val="footer"/>
    <w:basedOn w:val="a"/>
    <w:link w:val="af0"/>
    <w:uiPriority w:val="99"/>
    <w:unhideWhenUsed/>
    <w:rsid w:val="006D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D094F"/>
  </w:style>
  <w:style w:type="character" w:customStyle="1" w:styleId="10">
    <w:name w:val="Заголовок 1 Знак"/>
    <w:basedOn w:val="a0"/>
    <w:link w:val="1"/>
    <w:uiPriority w:val="9"/>
    <w:rsid w:val="00D937B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8107C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8107CB"/>
    <w:pPr>
      <w:spacing w:after="100"/>
      <w:ind w:left="220"/>
    </w:pPr>
  </w:style>
  <w:style w:type="character" w:styleId="af2">
    <w:name w:val="Placeholder Text"/>
    <w:basedOn w:val="a0"/>
    <w:uiPriority w:val="99"/>
    <w:semiHidden/>
    <w:rsid w:val="007D07D7"/>
    <w:rPr>
      <w:color w:val="808080"/>
    </w:rPr>
  </w:style>
  <w:style w:type="character" w:styleId="af3">
    <w:name w:val="Strong"/>
    <w:basedOn w:val="a0"/>
    <w:uiPriority w:val="22"/>
    <w:qFormat/>
    <w:rsid w:val="0071364D"/>
    <w:rPr>
      <w:b/>
      <w:bCs/>
    </w:rPr>
  </w:style>
  <w:style w:type="character" w:styleId="af4">
    <w:name w:val="Emphasis"/>
    <w:basedOn w:val="a0"/>
    <w:uiPriority w:val="20"/>
    <w:qFormat/>
    <w:rsid w:val="007136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qFormat/>
    <w:rsid w:val="00D40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661B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61B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61B5"/>
    <w:rPr>
      <w:vertAlign w:val="superscript"/>
    </w:rPr>
  </w:style>
  <w:style w:type="paragraph" w:styleId="a7">
    <w:name w:val="List Paragraph"/>
    <w:basedOn w:val="a"/>
    <w:uiPriority w:val="34"/>
    <w:qFormat/>
    <w:rsid w:val="00D404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04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76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6441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413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5A2ED2"/>
    <w:pPr>
      <w:spacing w:after="100"/>
    </w:pPr>
  </w:style>
  <w:style w:type="paragraph" w:customStyle="1" w:styleId="ac">
    <w:name w:val="Основной текст отчета Знак Знак Знак"/>
    <w:basedOn w:val="a"/>
    <w:rsid w:val="005A2ED2"/>
    <w:pPr>
      <w:spacing w:before="120" w:after="120" w:line="240" w:lineRule="auto"/>
      <w:ind w:firstLine="709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D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D094F"/>
  </w:style>
  <w:style w:type="paragraph" w:styleId="af">
    <w:name w:val="footer"/>
    <w:basedOn w:val="a"/>
    <w:link w:val="af0"/>
    <w:uiPriority w:val="99"/>
    <w:unhideWhenUsed/>
    <w:rsid w:val="006D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D094F"/>
  </w:style>
  <w:style w:type="character" w:customStyle="1" w:styleId="10">
    <w:name w:val="Заголовок 1 Знак"/>
    <w:basedOn w:val="a0"/>
    <w:link w:val="1"/>
    <w:uiPriority w:val="9"/>
    <w:rsid w:val="00D937B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8107C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8107CB"/>
    <w:pPr>
      <w:spacing w:after="100"/>
      <w:ind w:left="220"/>
    </w:pPr>
  </w:style>
  <w:style w:type="character" w:styleId="af2">
    <w:name w:val="Placeholder Text"/>
    <w:basedOn w:val="a0"/>
    <w:uiPriority w:val="99"/>
    <w:semiHidden/>
    <w:rsid w:val="007D07D7"/>
    <w:rPr>
      <w:color w:val="808080"/>
    </w:rPr>
  </w:style>
  <w:style w:type="character" w:styleId="af3">
    <w:name w:val="Strong"/>
    <w:basedOn w:val="a0"/>
    <w:uiPriority w:val="22"/>
    <w:qFormat/>
    <w:rsid w:val="0071364D"/>
    <w:rPr>
      <w:b/>
      <w:bCs/>
    </w:rPr>
  </w:style>
  <w:style w:type="character" w:styleId="af4">
    <w:name w:val="Emphasis"/>
    <w:basedOn w:val="a0"/>
    <w:uiPriority w:val="20"/>
    <w:qFormat/>
    <w:rsid w:val="007136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5AEAB5463DCD7861096860FC878927795A1A1852FE01195AB9BE972A80A13C054B17902Ay9pFI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C99AEEDA975B8A5200144686C183592FCDDF54CA0CCC9233700FF0FF40uEI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A92D1031CECE6B8E71364D732CA8D94359A4F1F94AA92F1E31940D61096D73DE0622FBF55C3926t2UDM" TargetMode="Externa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5AEAB5463DCD7861096860FC878927795A1A1852FE01195AB9BE972A80A13C054B17902Ey9p8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C99AEEDA975B8A5200144686C183592FCDDF54CA0CCC9233700FF0FF40uEI" TargetMode="External"/><Relationship Id="rId23" Type="http://schemas.openxmlformats.org/officeDocument/2006/relationships/image" Target="media/image2.png"/><Relationship Id="rId10" Type="http://schemas.openxmlformats.org/officeDocument/2006/relationships/hyperlink" Target="consultantplus://offline/ref=AE5AEAB5463DCD7861096860FC878927795A1A1852FE01195AB9BE972A80A13C054B17902Ay9pFI" TargetMode="External"/><Relationship Id="rId19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E5AEAB5463DCD7861096860FC878927795A1A1852FE01195AB9BE972A80A13C054B17902Ey9p8I" TargetMode="External"/><Relationship Id="rId22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l360\common\&#1051;&#1048;&#1043;&#1040;%20&#1047;&#1044;&#1054;&#1056;&#1054;&#1042;&#1068;&#1071;\&#1041;&#1072;&#1079;&#1099;%20&#1076;&#1072;&#1085;&#1085;&#1099;&#1093;_&#1089;&#1090;&#1072;&#1090;&#1080;&#1089;&#1090;&#1080;&#1082;&#1072;\&#1089;&#1086;&#1094;&#1079;&#1072;&#1097;&#1080;&#1090;&#1072;\&#1050;&#1085;&#1080;&#1075;&#1072;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l360\common\&#1051;&#1048;&#1043;&#1040;%20&#1047;&#1044;&#1054;&#1056;&#1054;&#1042;&#1068;&#1071;\&#1041;&#1072;&#1079;&#1099;%20&#1076;&#1072;&#1085;&#1085;&#1099;&#1093;_&#1089;&#1090;&#1072;&#1090;&#1080;&#1089;&#1090;&#1080;&#1082;&#1072;\&#1089;&#1086;&#1094;&#1079;&#1072;&#1097;&#1080;&#1090;&#1072;\&#1056;&#1072;&#1089;&#1095;&#1077;&#1090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l360\common\&#1051;&#1048;&#1043;&#1040;%20&#1047;&#1044;&#1054;&#1056;&#1054;&#1042;&#1068;&#1071;\&#1041;&#1072;&#1079;&#1099;%20&#1076;&#1072;&#1085;&#1085;&#1099;&#1093;_&#1089;&#1090;&#1072;&#1090;&#1080;&#1089;&#1090;&#1080;&#1082;&#1072;\&#1089;&#1086;&#1094;&#1079;&#1072;&#1097;&#1080;&#1090;&#1072;\&#1050;&#1085;&#1080;&#1075;&#1072;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 baseline="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Доля расходов на социальное обслуживание населения  в консолидированных бюджетах регионов, %, 2012</c:v>
          </c:tx>
          <c:invertIfNegative val="0"/>
          <c:dPt>
            <c:idx val="5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Лист1!$A$6:$A$89</c:f>
              <c:strCache>
                <c:ptCount val="84"/>
                <c:pt idx="0">
                  <c:v>Ненецкий автономный округ</c:v>
                </c:pt>
                <c:pt idx="1">
                  <c:v>Республика Ингушетия</c:v>
                </c:pt>
                <c:pt idx="2">
                  <c:v>Ямало-Ненецкий автономный округ</c:v>
                </c:pt>
                <c:pt idx="3">
                  <c:v>Карачаево-Черкесская Республика</c:v>
                </c:pt>
                <c:pt idx="4">
                  <c:v>Чукотский автономный округ</c:v>
                </c:pt>
                <c:pt idx="5">
                  <c:v>Тюменская область</c:v>
                </c:pt>
                <c:pt idx="6">
                  <c:v>Республика Татарстан (Татарстан)</c:v>
                </c:pt>
                <c:pt idx="7">
                  <c:v>Республика Башкортостан</c:v>
                </c:pt>
                <c:pt idx="8">
                  <c:v>Чувашская Республика-Чувашия</c:v>
                </c:pt>
                <c:pt idx="9">
                  <c:v>Приморский край</c:v>
                </c:pt>
                <c:pt idx="10">
                  <c:v>Сахалинская область</c:v>
                </c:pt>
                <c:pt idx="11">
                  <c:v>Республика Дагестан</c:v>
                </c:pt>
                <c:pt idx="12">
                  <c:v>Ульяновская область</c:v>
                </c:pt>
                <c:pt idx="13">
                  <c:v>Рязанская область</c:v>
                </c:pt>
                <c:pt idx="14">
                  <c:v>Удмуртская Республика</c:v>
                </c:pt>
                <c:pt idx="15">
                  <c:v>Пермский край</c:v>
                </c:pt>
                <c:pt idx="16">
                  <c:v>Алтайский край</c:v>
                </c:pt>
                <c:pt idx="17">
                  <c:v>Республика Мордовия</c:v>
                </c:pt>
                <c:pt idx="18">
                  <c:v>Республика Калмыкия</c:v>
                </c:pt>
                <c:pt idx="19">
                  <c:v>Республика Тыва</c:v>
                </c:pt>
                <c:pt idx="20">
                  <c:v>Пензенская область</c:v>
                </c:pt>
                <c:pt idx="21">
                  <c:v>Республика Саха (Якутия)</c:v>
                </c:pt>
                <c:pt idx="22">
                  <c:v>Республика Хакасия</c:v>
                </c:pt>
                <c:pt idx="23">
                  <c:v>Белгородская область</c:v>
                </c:pt>
                <c:pt idx="24">
                  <c:v>Республика Алтай</c:v>
                </c:pt>
                <c:pt idx="25">
                  <c:v>Кабардино-Балкарская Республика</c:v>
                </c:pt>
                <c:pt idx="26">
                  <c:v>Челябинская область</c:v>
                </c:pt>
                <c:pt idx="27">
                  <c:v>Чеченская Республика</c:v>
                </c:pt>
                <c:pt idx="28">
                  <c:v>Свердловская область</c:v>
                </c:pt>
                <c:pt idx="29">
                  <c:v>Калининградская область</c:v>
                </c:pt>
                <c:pt idx="30">
                  <c:v>Новосибирская область</c:v>
                </c:pt>
                <c:pt idx="31">
                  <c:v>Хабаровский край</c:v>
                </c:pt>
                <c:pt idx="32">
                  <c:v>Ханты-Мансийский автономный округ - Югра</c:v>
                </c:pt>
                <c:pt idx="33">
                  <c:v>Ленинградская область</c:v>
                </c:pt>
                <c:pt idx="34">
                  <c:v>Томская область</c:v>
                </c:pt>
                <c:pt idx="35">
                  <c:v>Курская область</c:v>
                </c:pt>
                <c:pt idx="36">
                  <c:v>Калужская область</c:v>
                </c:pt>
                <c:pt idx="37">
                  <c:v>Воронежская область</c:v>
                </c:pt>
                <c:pt idx="38">
                  <c:v>Брянская область</c:v>
                </c:pt>
                <c:pt idx="39">
                  <c:v>Камчатский край</c:v>
                </c:pt>
                <c:pt idx="40">
                  <c:v>Московская область</c:v>
                </c:pt>
                <c:pt idx="41">
                  <c:v>Оренбургская область</c:v>
                </c:pt>
                <c:pt idx="42">
                  <c:v>Тверская область</c:v>
                </c:pt>
                <c:pt idx="43">
                  <c:v>Красноярский край</c:v>
                </c:pt>
                <c:pt idx="44">
                  <c:v>Вологодская область</c:v>
                </c:pt>
                <c:pt idx="45">
                  <c:v>Архангельская область</c:v>
                </c:pt>
                <c:pt idx="46">
                  <c:v>г.Санкт-Петербург</c:v>
                </c:pt>
                <c:pt idx="47">
                  <c:v>Ставропольский край</c:v>
                </c:pt>
                <c:pt idx="48">
                  <c:v>Республика Северная Осетия-Алания</c:v>
                </c:pt>
                <c:pt idx="49">
                  <c:v>Липецкая область</c:v>
                </c:pt>
                <c:pt idx="50">
                  <c:v>Российская федерация</c:v>
                </c:pt>
                <c:pt idx="51">
                  <c:v>Краснодарский край</c:v>
                </c:pt>
                <c:pt idx="52">
                  <c:v>Тамбовская область</c:v>
                </c:pt>
                <c:pt idx="53">
                  <c:v>Амурская область</c:v>
                </c:pt>
                <c:pt idx="54">
                  <c:v>Республика Адыгея (Адыгея)</c:v>
                </c:pt>
                <c:pt idx="55">
                  <c:v>Магаданская область</c:v>
                </c:pt>
                <c:pt idx="56">
                  <c:v>Ивановская область</c:v>
                </c:pt>
                <c:pt idx="57">
                  <c:v>Республика Марий Эл</c:v>
                </c:pt>
                <c:pt idx="58">
                  <c:v>Курганская область</c:v>
                </c:pt>
                <c:pt idx="59">
                  <c:v>Владимирская область</c:v>
                </c:pt>
                <c:pt idx="60">
                  <c:v>Иркутская область</c:v>
                </c:pt>
                <c:pt idx="61">
                  <c:v>Самарская область</c:v>
                </c:pt>
                <c:pt idx="62">
                  <c:v>Забайкальский край</c:v>
                </c:pt>
                <c:pt idx="63">
                  <c:v>Смоленская область</c:v>
                </c:pt>
                <c:pt idx="64">
                  <c:v>Республика Коми</c:v>
                </c:pt>
                <c:pt idx="65">
                  <c:v>Кемеровская область</c:v>
                </c:pt>
                <c:pt idx="66">
                  <c:v>Новгородская область</c:v>
                </c:pt>
                <c:pt idx="67">
                  <c:v>Волгоградская область</c:v>
                </c:pt>
                <c:pt idx="68">
                  <c:v>Кировская область</c:v>
                </c:pt>
                <c:pt idx="69">
                  <c:v>Тульская область</c:v>
                </c:pt>
                <c:pt idx="70">
                  <c:v>Ростовская область</c:v>
                </c:pt>
                <c:pt idx="71">
                  <c:v>Республика Карелия</c:v>
                </c:pt>
                <c:pt idx="72">
                  <c:v>Еврейская автономная область</c:v>
                </c:pt>
                <c:pt idx="73">
                  <c:v>Республика Бурятия</c:v>
                </c:pt>
                <c:pt idx="74">
                  <c:v>Костромская область</c:v>
                </c:pt>
                <c:pt idx="75">
                  <c:v>Ярославская область</c:v>
                </c:pt>
                <c:pt idx="76">
                  <c:v>Мурманская область</c:v>
                </c:pt>
                <c:pt idx="77">
                  <c:v>Псковская область</c:v>
                </c:pt>
                <c:pt idx="78">
                  <c:v>Нижегородская область</c:v>
                </c:pt>
                <c:pt idx="79">
                  <c:v>Орловская область</c:v>
                </c:pt>
                <c:pt idx="80">
                  <c:v>г.Москва</c:v>
                </c:pt>
                <c:pt idx="81">
                  <c:v>Саратовская область</c:v>
                </c:pt>
                <c:pt idx="82">
                  <c:v>Астраханская область</c:v>
                </c:pt>
                <c:pt idx="83">
                  <c:v>Омская область</c:v>
                </c:pt>
              </c:strCache>
            </c:strRef>
          </c:cat>
          <c:val>
            <c:numRef>
              <c:f>Лист1!$B$6:$B$89</c:f>
              <c:numCache>
                <c:formatCode>0.000</c:formatCode>
                <c:ptCount val="84"/>
                <c:pt idx="0">
                  <c:v>0</c:v>
                </c:pt>
                <c:pt idx="1">
                  <c:v>4.0175186965671758E-3</c:v>
                </c:pt>
                <c:pt idx="2">
                  <c:v>5.4108892570767387E-3</c:v>
                </c:pt>
                <c:pt idx="3">
                  <c:v>7.6242686554078461E-3</c:v>
                </c:pt>
                <c:pt idx="4">
                  <c:v>1.0383125656662563E-2</c:v>
                </c:pt>
                <c:pt idx="5">
                  <c:v>1.1356274915231999E-2</c:v>
                </c:pt>
                <c:pt idx="6">
                  <c:v>1.2912606429406708E-2</c:v>
                </c:pt>
                <c:pt idx="7">
                  <c:v>1.3472528312089884E-2</c:v>
                </c:pt>
                <c:pt idx="8">
                  <c:v>1.3732875955730582E-2</c:v>
                </c:pt>
                <c:pt idx="9">
                  <c:v>1.4587913725119412E-2</c:v>
                </c:pt>
                <c:pt idx="10">
                  <c:v>1.487816446175249E-2</c:v>
                </c:pt>
                <c:pt idx="11">
                  <c:v>1.5317159410650392E-2</c:v>
                </c:pt>
                <c:pt idx="12">
                  <c:v>1.5493981266246026E-2</c:v>
                </c:pt>
                <c:pt idx="13">
                  <c:v>1.5615926621523472E-2</c:v>
                </c:pt>
                <c:pt idx="14">
                  <c:v>1.5680710421199864E-2</c:v>
                </c:pt>
                <c:pt idx="15">
                  <c:v>1.5912549391966877E-2</c:v>
                </c:pt>
                <c:pt idx="16">
                  <c:v>1.6120155960592429E-2</c:v>
                </c:pt>
                <c:pt idx="17">
                  <c:v>1.641312527717266E-2</c:v>
                </c:pt>
                <c:pt idx="18">
                  <c:v>1.6414593236708182E-2</c:v>
                </c:pt>
                <c:pt idx="19">
                  <c:v>1.6636962595752876E-2</c:v>
                </c:pt>
                <c:pt idx="20">
                  <c:v>1.6699545087529466E-2</c:v>
                </c:pt>
                <c:pt idx="21">
                  <c:v>1.6854469531108602E-2</c:v>
                </c:pt>
                <c:pt idx="22">
                  <c:v>1.6868813491393159E-2</c:v>
                </c:pt>
                <c:pt idx="23">
                  <c:v>1.7120460648309129E-2</c:v>
                </c:pt>
                <c:pt idx="24">
                  <c:v>1.7191735909626697E-2</c:v>
                </c:pt>
                <c:pt idx="25">
                  <c:v>1.7563673886843822E-2</c:v>
                </c:pt>
                <c:pt idx="26">
                  <c:v>1.8143016787005639E-2</c:v>
                </c:pt>
                <c:pt idx="27">
                  <c:v>1.883268867934982E-2</c:v>
                </c:pt>
                <c:pt idx="28">
                  <c:v>1.891674867139382E-2</c:v>
                </c:pt>
                <c:pt idx="29">
                  <c:v>1.9221948199829787E-2</c:v>
                </c:pt>
                <c:pt idx="30">
                  <c:v>1.9271358411206658E-2</c:v>
                </c:pt>
                <c:pt idx="31">
                  <c:v>1.9376095030571958E-2</c:v>
                </c:pt>
                <c:pt idx="32">
                  <c:v>1.9817132125594328E-2</c:v>
                </c:pt>
                <c:pt idx="33">
                  <c:v>2.0151233369301864E-2</c:v>
                </c:pt>
                <c:pt idx="34">
                  <c:v>2.0255937333713493E-2</c:v>
                </c:pt>
                <c:pt idx="35">
                  <c:v>2.0846252339369747E-2</c:v>
                </c:pt>
                <c:pt idx="36">
                  <c:v>2.0853669480766657E-2</c:v>
                </c:pt>
                <c:pt idx="37">
                  <c:v>2.0967390902047883E-2</c:v>
                </c:pt>
                <c:pt idx="38">
                  <c:v>2.1122351239298807E-2</c:v>
                </c:pt>
                <c:pt idx="39">
                  <c:v>2.1136525611136336E-2</c:v>
                </c:pt>
                <c:pt idx="40">
                  <c:v>2.1326048276426562E-2</c:v>
                </c:pt>
                <c:pt idx="41">
                  <c:v>2.1371790541561266E-2</c:v>
                </c:pt>
                <c:pt idx="42">
                  <c:v>2.160287933565995E-2</c:v>
                </c:pt>
                <c:pt idx="43">
                  <c:v>2.2254414106121501E-2</c:v>
                </c:pt>
                <c:pt idx="44">
                  <c:v>2.2565647685693867E-2</c:v>
                </c:pt>
                <c:pt idx="45">
                  <c:v>2.2910620752398421E-2</c:v>
                </c:pt>
                <c:pt idx="46">
                  <c:v>2.2947998131032363E-2</c:v>
                </c:pt>
                <c:pt idx="47" formatCode="0.0000">
                  <c:v>2.2985955567051315E-2</c:v>
                </c:pt>
                <c:pt idx="48" formatCode="0.0000">
                  <c:v>2.3043764765635806E-2</c:v>
                </c:pt>
                <c:pt idx="49" formatCode="0.0000">
                  <c:v>2.3138144816791727E-2</c:v>
                </c:pt>
                <c:pt idx="50" formatCode="0.0000">
                  <c:v>2.3403754966021192E-2</c:v>
                </c:pt>
                <c:pt idx="51" formatCode="0.0000">
                  <c:v>2.3459082921276887E-2</c:v>
                </c:pt>
                <c:pt idx="52" formatCode="0.0000">
                  <c:v>2.375618004051213E-2</c:v>
                </c:pt>
                <c:pt idx="53" formatCode="0.0000">
                  <c:v>2.3919889784401595E-2</c:v>
                </c:pt>
                <c:pt idx="54">
                  <c:v>2.4618861027136427E-2</c:v>
                </c:pt>
                <c:pt idx="55">
                  <c:v>2.4663824746486877E-2</c:v>
                </c:pt>
                <c:pt idx="56">
                  <c:v>2.4823696317857916E-2</c:v>
                </c:pt>
                <c:pt idx="57">
                  <c:v>2.4970730749950786E-2</c:v>
                </c:pt>
                <c:pt idx="58">
                  <c:v>2.5026754909075532E-2</c:v>
                </c:pt>
                <c:pt idx="59">
                  <c:v>2.5551611341502599E-2</c:v>
                </c:pt>
                <c:pt idx="60">
                  <c:v>2.5565939090409356E-2</c:v>
                </c:pt>
                <c:pt idx="61">
                  <c:v>2.6690658392514464E-2</c:v>
                </c:pt>
                <c:pt idx="62">
                  <c:v>2.736161585541359E-2</c:v>
                </c:pt>
                <c:pt idx="63">
                  <c:v>2.8180314794893069E-2</c:v>
                </c:pt>
                <c:pt idx="64">
                  <c:v>2.8272878420127816E-2</c:v>
                </c:pt>
                <c:pt idx="65">
                  <c:v>2.8323548503975046E-2</c:v>
                </c:pt>
                <c:pt idx="66">
                  <c:v>2.8342376148005926E-2</c:v>
                </c:pt>
                <c:pt idx="67">
                  <c:v>2.8800098627149089E-2</c:v>
                </c:pt>
                <c:pt idx="68">
                  <c:v>2.9073068715696988E-2</c:v>
                </c:pt>
                <c:pt idx="69">
                  <c:v>2.9274634281957573E-2</c:v>
                </c:pt>
                <c:pt idx="70">
                  <c:v>2.994396322840033E-2</c:v>
                </c:pt>
                <c:pt idx="71">
                  <c:v>3.0197450158911853E-2</c:v>
                </c:pt>
                <c:pt idx="72">
                  <c:v>3.0632230720248024E-2</c:v>
                </c:pt>
                <c:pt idx="73">
                  <c:v>3.0637383196660099E-2</c:v>
                </c:pt>
                <c:pt idx="74">
                  <c:v>3.1327963864811084E-2</c:v>
                </c:pt>
                <c:pt idx="75">
                  <c:v>3.1467430864057143E-2</c:v>
                </c:pt>
                <c:pt idx="76">
                  <c:v>3.1587827271320895E-2</c:v>
                </c:pt>
                <c:pt idx="77">
                  <c:v>3.1868220550539166E-2</c:v>
                </c:pt>
                <c:pt idx="78">
                  <c:v>3.1927667329277466E-2</c:v>
                </c:pt>
                <c:pt idx="79">
                  <c:v>3.2015236013530353E-2</c:v>
                </c:pt>
                <c:pt idx="80">
                  <c:v>3.2590645105234121E-2</c:v>
                </c:pt>
                <c:pt idx="81">
                  <c:v>3.4613877083424054E-2</c:v>
                </c:pt>
                <c:pt idx="82">
                  <c:v>3.6536294312667091E-2</c:v>
                </c:pt>
                <c:pt idx="83">
                  <c:v>3.8317679197153461E-2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255808"/>
        <c:axId val="46870528"/>
      </c:barChart>
      <c:catAx>
        <c:axId val="79255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46870528"/>
        <c:crosses val="autoZero"/>
        <c:auto val="1"/>
        <c:lblAlgn val="ctr"/>
        <c:lblOffset val="100"/>
        <c:tickLblSkip val="1"/>
        <c:noMultiLvlLbl val="0"/>
      </c:catAx>
      <c:valAx>
        <c:axId val="46870528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79255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ru-RU" sz="1000" baseline="0"/>
              <a:t>Подушевые расходы регионов на социальное обслуживание населения, руб./чел., 2012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Подушевые расходы регионов на социальное обслуживание населения, руб.,чел., 2012.</c:v>
          </c:tx>
          <c:invertIfNegative val="0"/>
          <c:dPt>
            <c:idx val="58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Лист4!$E$7:$E$89</c:f>
              <c:strCache>
                <c:ptCount val="83"/>
                <c:pt idx="0">
                  <c:v>Республика Ингушетия</c:v>
                </c:pt>
                <c:pt idx="1">
                  <c:v>Карачаево-Черкесская Республика</c:v>
                </c:pt>
                <c:pt idx="2">
                  <c:v>Республика Дагестан</c:v>
                </c:pt>
                <c:pt idx="3">
                  <c:v>Чувашская Республика</c:v>
                </c:pt>
                <c:pt idx="4">
                  <c:v>Кабардино-Балкарская Республика</c:v>
                </c:pt>
                <c:pt idx="5">
                  <c:v>Республика Башкортостан</c:v>
                </c:pt>
                <c:pt idx="6">
                  <c:v>Ульяновская область</c:v>
                </c:pt>
                <c:pt idx="7">
                  <c:v>Республика Калмыкия</c:v>
                </c:pt>
                <c:pt idx="8">
                  <c:v>Алтайский край</c:v>
                </c:pt>
                <c:pt idx="9">
                  <c:v>Пензенская область</c:v>
                </c:pt>
                <c:pt idx="10">
                  <c:v>Удмуртская Республика</c:v>
                </c:pt>
                <c:pt idx="11">
                  <c:v>Рязанская область</c:v>
                </c:pt>
                <c:pt idx="12">
                  <c:v>Челябинская область</c:v>
                </c:pt>
                <c:pt idx="13">
                  <c:v>Республика Северная Осетия - Алания</c:v>
                </c:pt>
                <c:pt idx="14">
                  <c:v>Пермский край</c:v>
                </c:pt>
                <c:pt idx="15">
                  <c:v>Республика Татарстан</c:v>
                </c:pt>
                <c:pt idx="16">
                  <c:v>Брянская область</c:v>
                </c:pt>
                <c:pt idx="17">
                  <c:v>Республика Хакасия</c:v>
                </c:pt>
                <c:pt idx="18">
                  <c:v>Ставропольский край</c:v>
                </c:pt>
                <c:pt idx="19">
                  <c:v>Приморский край</c:v>
                </c:pt>
                <c:pt idx="20">
                  <c:v>Воронежская область</c:v>
                </c:pt>
                <c:pt idx="21">
                  <c:v>Курская область</c:v>
                </c:pt>
                <c:pt idx="22">
                  <c:v>Ивановская область</c:v>
                </c:pt>
                <c:pt idx="23">
                  <c:v>Республика Адыгея</c:v>
                </c:pt>
                <c:pt idx="24">
                  <c:v>Республика Мордовия</c:v>
                </c:pt>
                <c:pt idx="25">
                  <c:v>Оренбургская область</c:v>
                </c:pt>
                <c:pt idx="26">
                  <c:v>Республика Марий Эл</c:v>
                </c:pt>
                <c:pt idx="27">
                  <c:v>Свердловская область</c:v>
                </c:pt>
                <c:pt idx="28">
                  <c:v>Владимирская область</c:v>
                </c:pt>
                <c:pt idx="29">
                  <c:v>Белгородская область</c:v>
                </c:pt>
                <c:pt idx="30">
                  <c:v>Тамбовская область</c:v>
                </c:pt>
                <c:pt idx="31">
                  <c:v>Липецкая область</c:v>
                </c:pt>
                <c:pt idx="32">
                  <c:v>Тверская область</c:v>
                </c:pt>
                <c:pt idx="33">
                  <c:v>Новосибирская область</c:v>
                </c:pt>
                <c:pt idx="34">
                  <c:v>Курганская область</c:v>
                </c:pt>
                <c:pt idx="35">
                  <c:v>Калининградская область</c:v>
                </c:pt>
                <c:pt idx="36">
                  <c:v>Волгоградская область</c:v>
                </c:pt>
                <c:pt idx="37">
                  <c:v>Ленинградская область</c:v>
                </c:pt>
                <c:pt idx="38">
                  <c:v>Томская область</c:v>
                </c:pt>
                <c:pt idx="39">
                  <c:v>Республика Тыва</c:v>
                </c:pt>
                <c:pt idx="40">
                  <c:v>Ростовская область</c:v>
                </c:pt>
                <c:pt idx="41">
                  <c:v>Вологодская область</c:v>
                </c:pt>
                <c:pt idx="42">
                  <c:v>Калужская область</c:v>
                </c:pt>
                <c:pt idx="43">
                  <c:v>Чеченская Республика</c:v>
                </c:pt>
                <c:pt idx="44">
                  <c:v>Тульская область</c:v>
                </c:pt>
                <c:pt idx="45">
                  <c:v>Республика Алтай</c:v>
                </c:pt>
                <c:pt idx="46">
                  <c:v>Кировская область</c:v>
                </c:pt>
                <c:pt idx="47">
                  <c:v>Московская область</c:v>
                </c:pt>
                <c:pt idx="48">
                  <c:v>Костромская область</c:v>
                </c:pt>
                <c:pt idx="49">
                  <c:v>Смоленская область</c:v>
                </c:pt>
                <c:pt idx="50">
                  <c:v>Саратовская область</c:v>
                </c:pt>
                <c:pt idx="51">
                  <c:v>Самарская область</c:v>
                </c:pt>
                <c:pt idx="52">
                  <c:v>Краснодарский край</c:v>
                </c:pt>
                <c:pt idx="53">
                  <c:v>Иркутская область</c:v>
                </c:pt>
                <c:pt idx="54">
                  <c:v>Забайкальский край</c:v>
                </c:pt>
                <c:pt idx="55">
                  <c:v>Орловская область</c:v>
                </c:pt>
                <c:pt idx="56">
                  <c:v>Астраханская область</c:v>
                </c:pt>
                <c:pt idx="57">
                  <c:v>Кемеровская область</c:v>
                </c:pt>
                <c:pt idx="58">
                  <c:v>Российская Федерация</c:v>
                </c:pt>
                <c:pt idx="59">
                  <c:v>Нижегородская область</c:v>
                </c:pt>
                <c:pt idx="60">
                  <c:v>Архангельская область </c:v>
                </c:pt>
                <c:pt idx="61">
                  <c:v>Хабаровский край</c:v>
                </c:pt>
                <c:pt idx="62">
                  <c:v>Псковская область</c:v>
                </c:pt>
                <c:pt idx="63">
                  <c:v>Новгородская область</c:v>
                </c:pt>
                <c:pt idx="64">
                  <c:v>Республика Бурятия</c:v>
                </c:pt>
                <c:pt idx="65">
                  <c:v>Тюменская область (без АО)</c:v>
                </c:pt>
                <c:pt idx="66">
                  <c:v>Омская область</c:v>
                </c:pt>
                <c:pt idx="67">
                  <c:v>Красноярский край</c:v>
                </c:pt>
                <c:pt idx="68">
                  <c:v>Ярославская область</c:v>
                </c:pt>
                <c:pt idx="69">
                  <c:v>Республика Карелия</c:v>
                </c:pt>
                <c:pt idx="70">
                  <c:v>Ямало-Ненецкий автономный округ</c:v>
                </c:pt>
                <c:pt idx="71">
                  <c:v>Амурская область</c:v>
                </c:pt>
                <c:pt idx="72">
                  <c:v>Еврейская автономная область</c:v>
                </c:pt>
                <c:pt idx="73">
                  <c:v>г.Санкт-Петербург</c:v>
                </c:pt>
                <c:pt idx="74">
                  <c:v>Республика Коми</c:v>
                </c:pt>
                <c:pt idx="75">
                  <c:v>Сахалинская область</c:v>
                </c:pt>
                <c:pt idx="76">
                  <c:v>Мурманская область</c:v>
                </c:pt>
                <c:pt idx="77">
                  <c:v>Республика Саха (Якутия)</c:v>
                </c:pt>
                <c:pt idx="78">
                  <c:v>Ханты-Мансийский автономный округ-Югра</c:v>
                </c:pt>
                <c:pt idx="79">
                  <c:v>Камчатский край</c:v>
                </c:pt>
                <c:pt idx="80">
                  <c:v>Магаданская область</c:v>
                </c:pt>
                <c:pt idx="81">
                  <c:v>г.Москва</c:v>
                </c:pt>
                <c:pt idx="82">
                  <c:v>Чукотский автономный округ</c:v>
                </c:pt>
              </c:strCache>
            </c:strRef>
          </c:cat>
          <c:val>
            <c:numRef>
              <c:f>Лист4!$F$7:$F$89</c:f>
              <c:numCache>
                <c:formatCode>_(* #,##0.00_);_(* \(#,##0.00\);_(* "-"??_);_(@_)</c:formatCode>
                <c:ptCount val="83"/>
                <c:pt idx="0">
                  <c:v>192.81801626016261</c:v>
                </c:pt>
                <c:pt idx="1">
                  <c:v>330.97904628186222</c:v>
                </c:pt>
                <c:pt idx="2">
                  <c:v>423.92407439003586</c:v>
                </c:pt>
                <c:pt idx="3">
                  <c:v>464.97785971130708</c:v>
                </c:pt>
                <c:pt idx="4">
                  <c:v>510.42192685681027</c:v>
                </c:pt>
                <c:pt idx="5">
                  <c:v>514.25687286125526</c:v>
                </c:pt>
                <c:pt idx="6">
                  <c:v>560.87790283909214</c:v>
                </c:pt>
                <c:pt idx="7">
                  <c:v>578.6248274154168</c:v>
                </c:pt>
                <c:pt idx="8">
                  <c:v>581.90103950648052</c:v>
                </c:pt>
                <c:pt idx="9">
                  <c:v>629.7735944787504</c:v>
                </c:pt>
                <c:pt idx="10">
                  <c:v>670.97231445886302</c:v>
                </c:pt>
                <c:pt idx="11">
                  <c:v>675.30335986939485</c:v>
                </c:pt>
                <c:pt idx="12">
                  <c:v>683.50836057297192</c:v>
                </c:pt>
                <c:pt idx="13">
                  <c:v>711.96671878702398</c:v>
                </c:pt>
                <c:pt idx="14">
                  <c:v>716.24973333966784</c:v>
                </c:pt>
                <c:pt idx="15">
                  <c:v>727.614570898191</c:v>
                </c:pt>
                <c:pt idx="16">
                  <c:v>736.62818978171458</c:v>
                </c:pt>
                <c:pt idx="17">
                  <c:v>743.56152762119507</c:v>
                </c:pt>
                <c:pt idx="18">
                  <c:v>755.33025229278792</c:v>
                </c:pt>
                <c:pt idx="19">
                  <c:v>770.52078008203023</c:v>
                </c:pt>
                <c:pt idx="20">
                  <c:v>801.9729450611195</c:v>
                </c:pt>
                <c:pt idx="21">
                  <c:v>855.77362961840231</c:v>
                </c:pt>
                <c:pt idx="22">
                  <c:v>857.48894548387091</c:v>
                </c:pt>
                <c:pt idx="23">
                  <c:v>859.67686559674496</c:v>
                </c:pt>
                <c:pt idx="24">
                  <c:v>871.18034229464502</c:v>
                </c:pt>
                <c:pt idx="25">
                  <c:v>875.07145583831584</c:v>
                </c:pt>
                <c:pt idx="26">
                  <c:v>884.52368269786245</c:v>
                </c:pt>
                <c:pt idx="27">
                  <c:v>897.77863720401149</c:v>
                </c:pt>
                <c:pt idx="28">
                  <c:v>900.98624119002727</c:v>
                </c:pt>
                <c:pt idx="29">
                  <c:v>921.20723006965682</c:v>
                </c:pt>
                <c:pt idx="30">
                  <c:v>931.5307132643635</c:v>
                </c:pt>
                <c:pt idx="31">
                  <c:v>938.67701430654427</c:v>
                </c:pt>
                <c:pt idx="32">
                  <c:v>944.96965324094765</c:v>
                </c:pt>
                <c:pt idx="33">
                  <c:v>958.11801968067289</c:v>
                </c:pt>
                <c:pt idx="34">
                  <c:v>965.75032265982372</c:v>
                </c:pt>
                <c:pt idx="35">
                  <c:v>1016.659077851711</c:v>
                </c:pt>
                <c:pt idx="36">
                  <c:v>1035.3500455295205</c:v>
                </c:pt>
                <c:pt idx="37">
                  <c:v>1045.1116934771323</c:v>
                </c:pt>
                <c:pt idx="38">
                  <c:v>1046.4606171315118</c:v>
                </c:pt>
                <c:pt idx="39">
                  <c:v>1047.8274965093731</c:v>
                </c:pt>
                <c:pt idx="40">
                  <c:v>1071.2550316622071</c:v>
                </c:pt>
                <c:pt idx="41">
                  <c:v>1090.2037157196496</c:v>
                </c:pt>
                <c:pt idx="42">
                  <c:v>1106.0070009025987</c:v>
                </c:pt>
                <c:pt idx="43">
                  <c:v>1121.2822818307479</c:v>
                </c:pt>
                <c:pt idx="44">
                  <c:v>1131.6260464357397</c:v>
                </c:pt>
                <c:pt idx="45">
                  <c:v>1138.3671642514396</c:v>
                </c:pt>
                <c:pt idx="46">
                  <c:v>1150.5571319527073</c:v>
                </c:pt>
                <c:pt idx="47">
                  <c:v>1163.5911467126009</c:v>
                </c:pt>
                <c:pt idx="48">
                  <c:v>1171.6845930190391</c:v>
                </c:pt>
                <c:pt idx="49">
                  <c:v>1194.7883474451812</c:v>
                </c:pt>
                <c:pt idx="50">
                  <c:v>1200.2061468510842</c:v>
                </c:pt>
                <c:pt idx="51">
                  <c:v>1229.8428127998507</c:v>
                </c:pt>
                <c:pt idx="52">
                  <c:v>1236.8071342643582</c:v>
                </c:pt>
                <c:pt idx="53">
                  <c:v>1243.2535498185118</c:v>
                </c:pt>
                <c:pt idx="54">
                  <c:v>1271.5529626887394</c:v>
                </c:pt>
                <c:pt idx="55">
                  <c:v>1286.3811990656598</c:v>
                </c:pt>
                <c:pt idx="56">
                  <c:v>1308.8564744236453</c:v>
                </c:pt>
                <c:pt idx="57">
                  <c:v>1349.3789810782318</c:v>
                </c:pt>
                <c:pt idx="58">
                  <c:v>1365.1133163035699</c:v>
                </c:pt>
                <c:pt idx="59">
                  <c:v>1384.248720549607</c:v>
                </c:pt>
                <c:pt idx="60">
                  <c:v>1387.155105225856</c:v>
                </c:pt>
                <c:pt idx="61">
                  <c:v>1401.5041788975791</c:v>
                </c:pt>
                <c:pt idx="62">
                  <c:v>1451.421381931324</c:v>
                </c:pt>
                <c:pt idx="63">
                  <c:v>1488.3744151000317</c:v>
                </c:pt>
                <c:pt idx="64">
                  <c:v>1526.0452973234505</c:v>
                </c:pt>
                <c:pt idx="65">
                  <c:v>1530.3482601865453</c:v>
                </c:pt>
                <c:pt idx="66">
                  <c:v>1543.9247593325906</c:v>
                </c:pt>
                <c:pt idx="67">
                  <c:v>1586.904077437993</c:v>
                </c:pt>
                <c:pt idx="68">
                  <c:v>1598.0736147521638</c:v>
                </c:pt>
                <c:pt idx="69">
                  <c:v>1670.8480346099734</c:v>
                </c:pt>
                <c:pt idx="70">
                  <c:v>1682.0254224748417</c:v>
                </c:pt>
                <c:pt idx="71">
                  <c:v>1705.1280460564753</c:v>
                </c:pt>
                <c:pt idx="72">
                  <c:v>1712.6812497133026</c:v>
                </c:pt>
                <c:pt idx="73">
                  <c:v>1771.0084171868691</c:v>
                </c:pt>
                <c:pt idx="74">
                  <c:v>2193.0834907394919</c:v>
                </c:pt>
                <c:pt idx="75">
                  <c:v>2310.3299023819136</c:v>
                </c:pt>
                <c:pt idx="76">
                  <c:v>2364.0918503934008</c:v>
                </c:pt>
                <c:pt idx="77">
                  <c:v>2535.4852124712284</c:v>
                </c:pt>
                <c:pt idx="78">
                  <c:v>2753.6645618882912</c:v>
                </c:pt>
                <c:pt idx="79">
                  <c:v>3573.3114556527166</c:v>
                </c:pt>
                <c:pt idx="80">
                  <c:v>4256.1048869255674</c:v>
                </c:pt>
                <c:pt idx="81">
                  <c:v>4326.1935314796465</c:v>
                </c:pt>
                <c:pt idx="82">
                  <c:v>4457.1219847058819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896256"/>
        <c:axId val="46897792"/>
      </c:barChart>
      <c:catAx>
        <c:axId val="468962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46897792"/>
        <c:crosses val="autoZero"/>
        <c:auto val="1"/>
        <c:lblAlgn val="ctr"/>
        <c:lblOffset val="100"/>
        <c:tickLblSkip val="1"/>
        <c:noMultiLvlLbl val="0"/>
      </c:catAx>
      <c:valAx>
        <c:axId val="46897792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46896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756343958149391E-2"/>
          <c:y val="5.1400554097404488E-2"/>
          <c:w val="0.90386913398724422"/>
          <c:h val="0.4951678408619975"/>
        </c:manualLayout>
      </c:layout>
      <c:lineChart>
        <c:grouping val="standard"/>
        <c:varyColors val="0"/>
        <c:ser>
          <c:idx val="0"/>
          <c:order val="0"/>
          <c:tx>
            <c:v>Фактические подушевые расходы на соцобслуживание</c:v>
          </c:tx>
          <c:marker>
            <c:symbol val="none"/>
          </c:marker>
          <c:cat>
            <c:strRef>
              <c:f>Лист5!$A$5:$A$88</c:f>
              <c:strCache>
                <c:ptCount val="84"/>
                <c:pt idx="0">
                  <c:v>Республика Дагестан</c:v>
                </c:pt>
                <c:pt idx="1">
                  <c:v>Кабардино-Балкарская Республика</c:v>
                </c:pt>
                <c:pt idx="2">
                  <c:v>Республика Северная Осетия-Алания</c:v>
                </c:pt>
                <c:pt idx="3">
                  <c:v>Ставропольский край</c:v>
                </c:pt>
                <c:pt idx="4">
                  <c:v>Чувашская Республика-Чувашия</c:v>
                </c:pt>
                <c:pt idx="5">
                  <c:v>Ивановская область</c:v>
                </c:pt>
                <c:pt idx="6">
                  <c:v>Саратовская область</c:v>
                </c:pt>
                <c:pt idx="7">
                  <c:v>Брянская область</c:v>
                </c:pt>
                <c:pt idx="8">
                  <c:v>Республика Адыгея (Адыгея)</c:v>
                </c:pt>
                <c:pt idx="9">
                  <c:v>Республика Калмыкия</c:v>
                </c:pt>
                <c:pt idx="10">
                  <c:v>Владимирская область</c:v>
                </c:pt>
                <c:pt idx="11">
                  <c:v>Республика Марий Эл</c:v>
                </c:pt>
                <c:pt idx="12">
                  <c:v>Ростовская область</c:v>
                </c:pt>
                <c:pt idx="13">
                  <c:v>Астраханская область</c:v>
                </c:pt>
                <c:pt idx="14">
                  <c:v>Волгоградская область</c:v>
                </c:pt>
                <c:pt idx="15">
                  <c:v>Алтайский край</c:v>
                </c:pt>
                <c:pt idx="16">
                  <c:v>Ульяновская область</c:v>
                </c:pt>
                <c:pt idx="17">
                  <c:v>Костромская область</c:v>
                </c:pt>
                <c:pt idx="18">
                  <c:v>Челябинская область</c:v>
                </c:pt>
                <c:pt idx="19">
                  <c:v>Пензенская область</c:v>
                </c:pt>
                <c:pt idx="20">
                  <c:v>Республика Башкортостан</c:v>
                </c:pt>
                <c:pt idx="21">
                  <c:v>Воронежская область</c:v>
                </c:pt>
                <c:pt idx="22">
                  <c:v>Курганская область</c:v>
                </c:pt>
                <c:pt idx="23">
                  <c:v>Тульская область</c:v>
                </c:pt>
                <c:pt idx="24">
                  <c:v>Тамбовская область</c:v>
                </c:pt>
                <c:pt idx="25">
                  <c:v>Кировская область</c:v>
                </c:pt>
                <c:pt idx="26">
                  <c:v>Орловская область</c:v>
                </c:pt>
                <c:pt idx="27">
                  <c:v>Омская область</c:v>
                </c:pt>
                <c:pt idx="28">
                  <c:v>Липецкая область</c:v>
                </c:pt>
                <c:pt idx="29">
                  <c:v>Оренбургская область</c:v>
                </c:pt>
                <c:pt idx="30">
                  <c:v>Курская область</c:v>
                </c:pt>
                <c:pt idx="31">
                  <c:v>Смоленская область</c:v>
                </c:pt>
                <c:pt idx="32">
                  <c:v>Удмуртская Республика</c:v>
                </c:pt>
                <c:pt idx="33">
                  <c:v>Рязанская область</c:v>
                </c:pt>
                <c:pt idx="34">
                  <c:v>Нижегородская область</c:v>
                </c:pt>
                <c:pt idx="35">
                  <c:v>Карачаево-Черкесская Республика</c:v>
                </c:pt>
                <c:pt idx="36">
                  <c:v>Тверская область</c:v>
                </c:pt>
                <c:pt idx="37">
                  <c:v>Республика Хакасия</c:v>
                </c:pt>
                <c:pt idx="38">
                  <c:v>Пермский край</c:v>
                </c:pt>
                <c:pt idx="39">
                  <c:v>Псковская область</c:v>
                </c:pt>
                <c:pt idx="40">
                  <c:v>Самарская область</c:v>
                </c:pt>
                <c:pt idx="41">
                  <c:v>Забайкальский край</c:v>
                </c:pt>
                <c:pt idx="42">
                  <c:v>Свердловская область</c:v>
                </c:pt>
                <c:pt idx="43">
                  <c:v>Кемеровская область</c:v>
                </c:pt>
                <c:pt idx="44">
                  <c:v>Республика Ингушетия</c:v>
                </c:pt>
                <c:pt idx="45">
                  <c:v>Вологодская область</c:v>
                </c:pt>
                <c:pt idx="46">
                  <c:v>Иркутская область</c:v>
                </c:pt>
                <c:pt idx="47">
                  <c:v>Новосибирская область</c:v>
                </c:pt>
                <c:pt idx="48">
                  <c:v>Республика Бурятия</c:v>
                </c:pt>
                <c:pt idx="49">
                  <c:v>Ярославская область</c:v>
                </c:pt>
                <c:pt idx="50">
                  <c:v>Томская область</c:v>
                </c:pt>
                <c:pt idx="51">
                  <c:v>Ленинградская область</c:v>
                </c:pt>
                <c:pt idx="52">
                  <c:v>Новгородская область</c:v>
                </c:pt>
                <c:pt idx="53">
                  <c:v>Краснодарский край</c:v>
                </c:pt>
                <c:pt idx="54">
                  <c:v>Приморский край</c:v>
                </c:pt>
                <c:pt idx="55">
                  <c:v>Калининградская область</c:v>
                </c:pt>
                <c:pt idx="56">
                  <c:v>Калужская область</c:v>
                </c:pt>
                <c:pt idx="57">
                  <c:v>Республика Мордовия</c:v>
                </c:pt>
                <c:pt idx="58">
                  <c:v>Белгородская область</c:v>
                </c:pt>
                <c:pt idx="59">
                  <c:v>Московская область</c:v>
                </c:pt>
                <c:pt idx="60">
                  <c:v>Республика Карелия</c:v>
                </c:pt>
                <c:pt idx="61">
                  <c:v>Еврейская автономная область</c:v>
                </c:pt>
                <c:pt idx="62">
                  <c:v>Республика Татарстан (Татарстан)</c:v>
                </c:pt>
                <c:pt idx="63">
                  <c:v>Российская федерация</c:v>
                </c:pt>
                <c:pt idx="64">
                  <c:v>Чеченская Республика</c:v>
                </c:pt>
                <c:pt idx="65">
                  <c:v>Архангельская область</c:v>
                </c:pt>
                <c:pt idx="66">
                  <c:v>Республика Тыва</c:v>
                </c:pt>
                <c:pt idx="67">
                  <c:v>Республика Алтай</c:v>
                </c:pt>
                <c:pt idx="68">
                  <c:v>Амурская область</c:v>
                </c:pt>
                <c:pt idx="69">
                  <c:v>Красноярский край</c:v>
                </c:pt>
                <c:pt idx="70">
                  <c:v>Хабаровский край</c:v>
                </c:pt>
                <c:pt idx="71">
                  <c:v>Мурманская область</c:v>
                </c:pt>
                <c:pt idx="72">
                  <c:v>г.Санкт-Петербург</c:v>
                </c:pt>
                <c:pt idx="73">
                  <c:v>Республика Коми</c:v>
                </c:pt>
                <c:pt idx="74">
                  <c:v>г.Москва</c:v>
                </c:pt>
                <c:pt idx="75">
                  <c:v>Тюменская область</c:v>
                </c:pt>
                <c:pt idx="76">
                  <c:v>Ханты-Мансийский автономный округ - Югра</c:v>
                </c:pt>
                <c:pt idx="77">
                  <c:v>Республика Саха (Якутия)</c:v>
                </c:pt>
                <c:pt idx="78">
                  <c:v>Сахалинская область</c:v>
                </c:pt>
                <c:pt idx="79">
                  <c:v>Камчатский край</c:v>
                </c:pt>
                <c:pt idx="80">
                  <c:v>Магаданская область</c:v>
                </c:pt>
                <c:pt idx="81">
                  <c:v>Ямало-Ненецкий автономный округ</c:v>
                </c:pt>
                <c:pt idx="82">
                  <c:v>Ненецкий автономный округ</c:v>
                </c:pt>
                <c:pt idx="83">
                  <c:v>Чукотский автономный округ</c:v>
                </c:pt>
              </c:strCache>
            </c:strRef>
          </c:cat>
          <c:val>
            <c:numRef>
              <c:f>Лист5!$E$5:$E$88</c:f>
              <c:numCache>
                <c:formatCode>General</c:formatCode>
                <c:ptCount val="84"/>
                <c:pt idx="0">
                  <c:v>423.92407439003586</c:v>
                </c:pt>
                <c:pt idx="1">
                  <c:v>510.42192685681027</c:v>
                </c:pt>
                <c:pt idx="2" formatCode="_(* #,##0.00_);_(* \(#,##0.00\);_(* &quot;-&quot;??_);_(@_)">
                  <c:v>711.96671878702398</c:v>
                </c:pt>
                <c:pt idx="3">
                  <c:v>755.33025229278792</c:v>
                </c:pt>
                <c:pt idx="4" formatCode="_(* #,##0.00_);_(* \(#,##0.00\);_(* &quot;-&quot;??_);_(@_)">
                  <c:v>464.97785971130708</c:v>
                </c:pt>
                <c:pt idx="5">
                  <c:v>857.48894548387091</c:v>
                </c:pt>
                <c:pt idx="6">
                  <c:v>1200.2061468510842</c:v>
                </c:pt>
                <c:pt idx="7">
                  <c:v>736.62818978171458</c:v>
                </c:pt>
                <c:pt idx="8" formatCode="_(* #,##0.00_);_(* \(#,##0.00\);_(* &quot;-&quot;??_);_(@_)">
                  <c:v>859.67686559674496</c:v>
                </c:pt>
                <c:pt idx="9">
                  <c:v>578.6248274154168</c:v>
                </c:pt>
                <c:pt idx="10">
                  <c:v>900.98624119002727</c:v>
                </c:pt>
                <c:pt idx="11">
                  <c:v>884.52368269786245</c:v>
                </c:pt>
                <c:pt idx="12">
                  <c:v>1071.2550316622071</c:v>
                </c:pt>
                <c:pt idx="13">
                  <c:v>1308.8564744236453</c:v>
                </c:pt>
                <c:pt idx="14">
                  <c:v>1035.3500455295205</c:v>
                </c:pt>
                <c:pt idx="15">
                  <c:v>581.90103950648052</c:v>
                </c:pt>
                <c:pt idx="16">
                  <c:v>560.87790283909214</c:v>
                </c:pt>
                <c:pt idx="17">
                  <c:v>1171.6845930190391</c:v>
                </c:pt>
                <c:pt idx="18">
                  <c:v>683.50836057297192</c:v>
                </c:pt>
                <c:pt idx="19">
                  <c:v>629.7735944787504</c:v>
                </c:pt>
                <c:pt idx="20">
                  <c:v>514.25687286125526</c:v>
                </c:pt>
                <c:pt idx="21">
                  <c:v>801.9729450611195</c:v>
                </c:pt>
                <c:pt idx="22">
                  <c:v>965.75032265982372</c:v>
                </c:pt>
                <c:pt idx="23">
                  <c:v>1131.6260464357397</c:v>
                </c:pt>
                <c:pt idx="24">
                  <c:v>931.5307132643635</c:v>
                </c:pt>
                <c:pt idx="25">
                  <c:v>1150.5571319527073</c:v>
                </c:pt>
                <c:pt idx="26">
                  <c:v>1286.3811990656598</c:v>
                </c:pt>
                <c:pt idx="27">
                  <c:v>1543.9247593325906</c:v>
                </c:pt>
                <c:pt idx="28">
                  <c:v>938.67701430654427</c:v>
                </c:pt>
                <c:pt idx="29">
                  <c:v>875.07145583831584</c:v>
                </c:pt>
                <c:pt idx="30">
                  <c:v>855.77362961840231</c:v>
                </c:pt>
                <c:pt idx="31">
                  <c:v>1194.7883474451812</c:v>
                </c:pt>
                <c:pt idx="32">
                  <c:v>670.97231445886302</c:v>
                </c:pt>
                <c:pt idx="33">
                  <c:v>675.30335986939485</c:v>
                </c:pt>
                <c:pt idx="34">
                  <c:v>1384.248720549607</c:v>
                </c:pt>
                <c:pt idx="35">
                  <c:v>330.97904628186222</c:v>
                </c:pt>
                <c:pt idx="36">
                  <c:v>944.96965324094765</c:v>
                </c:pt>
                <c:pt idx="37">
                  <c:v>743.56152762119507</c:v>
                </c:pt>
                <c:pt idx="38">
                  <c:v>716.24973333966784</c:v>
                </c:pt>
                <c:pt idx="39">
                  <c:v>1451.421381931324</c:v>
                </c:pt>
                <c:pt idx="40">
                  <c:v>1229.8428127998507</c:v>
                </c:pt>
                <c:pt idx="41">
                  <c:v>1271.5529626887394</c:v>
                </c:pt>
                <c:pt idx="42">
                  <c:v>897.77863720401149</c:v>
                </c:pt>
                <c:pt idx="43">
                  <c:v>1349.3789810782318</c:v>
                </c:pt>
                <c:pt idx="44">
                  <c:v>192.81801626016261</c:v>
                </c:pt>
                <c:pt idx="45">
                  <c:v>1090.2037157196496</c:v>
                </c:pt>
                <c:pt idx="46">
                  <c:v>1243.2535498185118</c:v>
                </c:pt>
                <c:pt idx="47">
                  <c:v>958.11801968067289</c:v>
                </c:pt>
                <c:pt idx="48">
                  <c:v>1526.0452973234505</c:v>
                </c:pt>
                <c:pt idx="49">
                  <c:v>1598.0736147521638</c:v>
                </c:pt>
                <c:pt idx="50">
                  <c:v>1046.4606171315118</c:v>
                </c:pt>
                <c:pt idx="51">
                  <c:v>1045.1116934771323</c:v>
                </c:pt>
                <c:pt idx="52">
                  <c:v>1488.3744151000317</c:v>
                </c:pt>
                <c:pt idx="53">
                  <c:v>1236.8071342643582</c:v>
                </c:pt>
                <c:pt idx="54">
                  <c:v>770.52078008203023</c:v>
                </c:pt>
                <c:pt idx="55">
                  <c:v>1016.659077851711</c:v>
                </c:pt>
                <c:pt idx="56">
                  <c:v>1106.0070009025987</c:v>
                </c:pt>
                <c:pt idx="57">
                  <c:v>871.18034229464502</c:v>
                </c:pt>
                <c:pt idx="58">
                  <c:v>921.20723006965682</c:v>
                </c:pt>
                <c:pt idx="59">
                  <c:v>1163.5911467126009</c:v>
                </c:pt>
                <c:pt idx="60">
                  <c:v>1670.8480346099734</c:v>
                </c:pt>
                <c:pt idx="61">
                  <c:v>1712.6812497133026</c:v>
                </c:pt>
                <c:pt idx="62" formatCode="_(* #,##0.00_);_(* \(#,##0.00\);_(* &quot;-&quot;??_);_(@_)">
                  <c:v>727.614570898191</c:v>
                </c:pt>
                <c:pt idx="63">
                  <c:v>1365.1133163035699</c:v>
                </c:pt>
                <c:pt idx="64">
                  <c:v>1121.2822818307479</c:v>
                </c:pt>
                <c:pt idx="65" formatCode="_(* #,##0.00_);_(* \(#,##0.00\);_(* &quot;-&quot;??_);_(@_)">
                  <c:v>1387.155105225856</c:v>
                </c:pt>
                <c:pt idx="66">
                  <c:v>1047.8274965093731</c:v>
                </c:pt>
                <c:pt idx="67">
                  <c:v>1138.3671642514396</c:v>
                </c:pt>
                <c:pt idx="68">
                  <c:v>1705.1280460564753</c:v>
                </c:pt>
                <c:pt idx="69">
                  <c:v>1586.904077437993</c:v>
                </c:pt>
                <c:pt idx="70">
                  <c:v>1401.5041788975791</c:v>
                </c:pt>
                <c:pt idx="71">
                  <c:v>2364.0918503934008</c:v>
                </c:pt>
                <c:pt idx="72">
                  <c:v>1771.0084171868691</c:v>
                </c:pt>
                <c:pt idx="73">
                  <c:v>2193.0834907394919</c:v>
                </c:pt>
                <c:pt idx="74">
                  <c:v>4326.1935314796465</c:v>
                </c:pt>
                <c:pt idx="75" formatCode="_(* #,##0.00_);_(* \(#,##0.00\);_(* &quot;-&quot;??_);_(@_)">
                  <c:v>1530.3482601865453</c:v>
                </c:pt>
                <c:pt idx="76" formatCode="_(* #,##0.00_);_(* \(#,##0.00\);_(* &quot;-&quot;??_);_(@_)">
                  <c:v>2753.6645618882912</c:v>
                </c:pt>
                <c:pt idx="77">
                  <c:v>2535.4852124712284</c:v>
                </c:pt>
                <c:pt idx="78">
                  <c:v>2310.3299023819136</c:v>
                </c:pt>
                <c:pt idx="79">
                  <c:v>3573.3114556527166</c:v>
                </c:pt>
                <c:pt idx="80">
                  <c:v>4256.1048869255674</c:v>
                </c:pt>
                <c:pt idx="81">
                  <c:v>1682.0254224748417</c:v>
                </c:pt>
                <c:pt idx="82">
                  <c:v>0</c:v>
                </c:pt>
                <c:pt idx="83">
                  <c:v>4457.1219847058819</c:v>
                </c:pt>
              </c:numCache>
            </c:numRef>
          </c:val>
          <c:smooth val="0"/>
        </c:ser>
        <c:ser>
          <c:idx val="1"/>
          <c:order val="1"/>
          <c:tx>
            <c:v>Значения, предстказанные с помощью регрессии</c:v>
          </c:tx>
          <c:marker>
            <c:symbol val="none"/>
          </c:marker>
          <c:cat>
            <c:strRef>
              <c:f>Лист5!$A$5:$A$88</c:f>
              <c:strCache>
                <c:ptCount val="84"/>
                <c:pt idx="0">
                  <c:v>Республика Дагестан</c:v>
                </c:pt>
                <c:pt idx="1">
                  <c:v>Кабардино-Балкарская Республика</c:v>
                </c:pt>
                <c:pt idx="2">
                  <c:v>Республика Северная Осетия-Алания</c:v>
                </c:pt>
                <c:pt idx="3">
                  <c:v>Ставропольский край</c:v>
                </c:pt>
                <c:pt idx="4">
                  <c:v>Чувашская Республика-Чувашия</c:v>
                </c:pt>
                <c:pt idx="5">
                  <c:v>Ивановская область</c:v>
                </c:pt>
                <c:pt idx="6">
                  <c:v>Саратовская область</c:v>
                </c:pt>
                <c:pt idx="7">
                  <c:v>Брянская область</c:v>
                </c:pt>
                <c:pt idx="8">
                  <c:v>Республика Адыгея (Адыгея)</c:v>
                </c:pt>
                <c:pt idx="9">
                  <c:v>Республика Калмыкия</c:v>
                </c:pt>
                <c:pt idx="10">
                  <c:v>Владимирская область</c:v>
                </c:pt>
                <c:pt idx="11">
                  <c:v>Республика Марий Эл</c:v>
                </c:pt>
                <c:pt idx="12">
                  <c:v>Ростовская область</c:v>
                </c:pt>
                <c:pt idx="13">
                  <c:v>Астраханская область</c:v>
                </c:pt>
                <c:pt idx="14">
                  <c:v>Волгоградская область</c:v>
                </c:pt>
                <c:pt idx="15">
                  <c:v>Алтайский край</c:v>
                </c:pt>
                <c:pt idx="16">
                  <c:v>Ульяновская область</c:v>
                </c:pt>
                <c:pt idx="17">
                  <c:v>Костромская область</c:v>
                </c:pt>
                <c:pt idx="18">
                  <c:v>Челябинская область</c:v>
                </c:pt>
                <c:pt idx="19">
                  <c:v>Пензенская область</c:v>
                </c:pt>
                <c:pt idx="20">
                  <c:v>Республика Башкортостан</c:v>
                </c:pt>
                <c:pt idx="21">
                  <c:v>Воронежская область</c:v>
                </c:pt>
                <c:pt idx="22">
                  <c:v>Курганская область</c:v>
                </c:pt>
                <c:pt idx="23">
                  <c:v>Тульская область</c:v>
                </c:pt>
                <c:pt idx="24">
                  <c:v>Тамбовская область</c:v>
                </c:pt>
                <c:pt idx="25">
                  <c:v>Кировская область</c:v>
                </c:pt>
                <c:pt idx="26">
                  <c:v>Орловская область</c:v>
                </c:pt>
                <c:pt idx="27">
                  <c:v>Омская область</c:v>
                </c:pt>
                <c:pt idx="28">
                  <c:v>Липецкая область</c:v>
                </c:pt>
                <c:pt idx="29">
                  <c:v>Оренбургская область</c:v>
                </c:pt>
                <c:pt idx="30">
                  <c:v>Курская область</c:v>
                </c:pt>
                <c:pt idx="31">
                  <c:v>Смоленская область</c:v>
                </c:pt>
                <c:pt idx="32">
                  <c:v>Удмуртская Республика</c:v>
                </c:pt>
                <c:pt idx="33">
                  <c:v>Рязанская область</c:v>
                </c:pt>
                <c:pt idx="34">
                  <c:v>Нижегородская область</c:v>
                </c:pt>
                <c:pt idx="35">
                  <c:v>Карачаево-Черкесская Республика</c:v>
                </c:pt>
                <c:pt idx="36">
                  <c:v>Тверская область</c:v>
                </c:pt>
                <c:pt idx="37">
                  <c:v>Республика Хакасия</c:v>
                </c:pt>
                <c:pt idx="38">
                  <c:v>Пермский край</c:v>
                </c:pt>
                <c:pt idx="39">
                  <c:v>Псковская область</c:v>
                </c:pt>
                <c:pt idx="40">
                  <c:v>Самарская область</c:v>
                </c:pt>
                <c:pt idx="41">
                  <c:v>Забайкальский край</c:v>
                </c:pt>
                <c:pt idx="42">
                  <c:v>Свердловская область</c:v>
                </c:pt>
                <c:pt idx="43">
                  <c:v>Кемеровская область</c:v>
                </c:pt>
                <c:pt idx="44">
                  <c:v>Республика Ингушетия</c:v>
                </c:pt>
                <c:pt idx="45">
                  <c:v>Вологодская область</c:v>
                </c:pt>
                <c:pt idx="46">
                  <c:v>Иркутская область</c:v>
                </c:pt>
                <c:pt idx="47">
                  <c:v>Новосибирская область</c:v>
                </c:pt>
                <c:pt idx="48">
                  <c:v>Республика Бурятия</c:v>
                </c:pt>
                <c:pt idx="49">
                  <c:v>Ярославская область</c:v>
                </c:pt>
                <c:pt idx="50">
                  <c:v>Томская область</c:v>
                </c:pt>
                <c:pt idx="51">
                  <c:v>Ленинградская область</c:v>
                </c:pt>
                <c:pt idx="52">
                  <c:v>Новгородская область</c:v>
                </c:pt>
                <c:pt idx="53">
                  <c:v>Краснодарский край</c:v>
                </c:pt>
                <c:pt idx="54">
                  <c:v>Приморский край</c:v>
                </c:pt>
                <c:pt idx="55">
                  <c:v>Калининградская область</c:v>
                </c:pt>
                <c:pt idx="56">
                  <c:v>Калужская область</c:v>
                </c:pt>
                <c:pt idx="57">
                  <c:v>Республика Мордовия</c:v>
                </c:pt>
                <c:pt idx="58">
                  <c:v>Белгородская область</c:v>
                </c:pt>
                <c:pt idx="59">
                  <c:v>Московская область</c:v>
                </c:pt>
                <c:pt idx="60">
                  <c:v>Республика Карелия</c:v>
                </c:pt>
                <c:pt idx="61">
                  <c:v>Еврейская автономная область</c:v>
                </c:pt>
                <c:pt idx="62">
                  <c:v>Республика Татарстан (Татарстан)</c:v>
                </c:pt>
                <c:pt idx="63">
                  <c:v>Российская федерация</c:v>
                </c:pt>
                <c:pt idx="64">
                  <c:v>Чеченская Республика</c:v>
                </c:pt>
                <c:pt idx="65">
                  <c:v>Архангельская область</c:v>
                </c:pt>
                <c:pt idx="66">
                  <c:v>Республика Тыва</c:v>
                </c:pt>
                <c:pt idx="67">
                  <c:v>Республика Алтай</c:v>
                </c:pt>
                <c:pt idx="68">
                  <c:v>Амурская область</c:v>
                </c:pt>
                <c:pt idx="69">
                  <c:v>Красноярский край</c:v>
                </c:pt>
                <c:pt idx="70">
                  <c:v>Хабаровский край</c:v>
                </c:pt>
                <c:pt idx="71">
                  <c:v>Мурманская область</c:v>
                </c:pt>
                <c:pt idx="72">
                  <c:v>г.Санкт-Петербург</c:v>
                </c:pt>
                <c:pt idx="73">
                  <c:v>Республика Коми</c:v>
                </c:pt>
                <c:pt idx="74">
                  <c:v>г.Москва</c:v>
                </c:pt>
                <c:pt idx="75">
                  <c:v>Тюменская область</c:v>
                </c:pt>
                <c:pt idx="76">
                  <c:v>Ханты-Мансийский автономный округ - Югра</c:v>
                </c:pt>
                <c:pt idx="77">
                  <c:v>Республика Саха (Якутия)</c:v>
                </c:pt>
                <c:pt idx="78">
                  <c:v>Сахалинская область</c:v>
                </c:pt>
                <c:pt idx="79">
                  <c:v>Камчатский край</c:v>
                </c:pt>
                <c:pt idx="80">
                  <c:v>Магаданская область</c:v>
                </c:pt>
                <c:pt idx="81">
                  <c:v>Ямало-Ненецкий автономный округ</c:v>
                </c:pt>
                <c:pt idx="82">
                  <c:v>Ненецкий автономный округ</c:v>
                </c:pt>
                <c:pt idx="83">
                  <c:v>Чукотский автономный округ</c:v>
                </c:pt>
              </c:strCache>
            </c:strRef>
          </c:cat>
          <c:val>
            <c:numRef>
              <c:f>Лист5!$G$5:$G$88</c:f>
              <c:numCache>
                <c:formatCode>_(* #,##0.00_);_(* \(#,##0.00\);_(* "-"??_);_(@_)</c:formatCode>
                <c:ptCount val="84"/>
                <c:pt idx="0">
                  <c:v>985.70063096824197</c:v>
                </c:pt>
                <c:pt idx="1">
                  <c:v>995.39137304993551</c:v>
                </c:pt>
                <c:pt idx="2">
                  <c:v>1008.2328754501609</c:v>
                </c:pt>
                <c:pt idx="3">
                  <c:v>1021.9725445549699</c:v>
                </c:pt>
                <c:pt idx="4">
                  <c:v>1028.9637623785932</c:v>
                </c:pt>
                <c:pt idx="5">
                  <c:v>1033.753266436247</c:v>
                </c:pt>
                <c:pt idx="6">
                  <c:v>1034.6697841196021</c:v>
                </c:pt>
                <c:pt idx="7">
                  <c:v>1036.0708576078125</c:v>
                </c:pt>
                <c:pt idx="8">
                  <c:v>1036.3864255447697</c:v>
                </c:pt>
                <c:pt idx="9">
                  <c:v>1038.704076917026</c:v>
                </c:pt>
                <c:pt idx="10">
                  <c:v>1038.7301975785826</c:v>
                </c:pt>
                <c:pt idx="11">
                  <c:v>1039.9062019859653</c:v>
                </c:pt>
                <c:pt idx="12">
                  <c:v>1042.3757994599027</c:v>
                </c:pt>
                <c:pt idx="13">
                  <c:v>1042.7126379893693</c:v>
                </c:pt>
                <c:pt idx="14">
                  <c:v>1043.5948696567878</c:v>
                </c:pt>
                <c:pt idx="15">
                  <c:v>1044.6319471151689</c:v>
                </c:pt>
                <c:pt idx="16">
                  <c:v>1045.345713515303</c:v>
                </c:pt>
                <c:pt idx="17">
                  <c:v>1053.7492577694111</c:v>
                </c:pt>
                <c:pt idx="18">
                  <c:v>1055.6579938960219</c:v>
                </c:pt>
                <c:pt idx="19">
                  <c:v>1055.9285548913676</c:v>
                </c:pt>
                <c:pt idx="20">
                  <c:v>1059.1388724128915</c:v>
                </c:pt>
                <c:pt idx="21">
                  <c:v>1059.6833342843127</c:v>
                </c:pt>
                <c:pt idx="22">
                  <c:v>1062.0635542103985</c:v>
                </c:pt>
                <c:pt idx="23">
                  <c:v>1062.5310051876245</c:v>
                </c:pt>
                <c:pt idx="24">
                  <c:v>1066.4262188822549</c:v>
                </c:pt>
                <c:pt idx="25">
                  <c:v>1068.9631502412353</c:v>
                </c:pt>
                <c:pt idx="26">
                  <c:v>1073.2011378765258</c:v>
                </c:pt>
                <c:pt idx="27">
                  <c:v>1073.9881943133382</c:v>
                </c:pt>
                <c:pt idx="28">
                  <c:v>1075.9169911697663</c:v>
                </c:pt>
                <c:pt idx="29">
                  <c:v>1078.5501838969308</c:v>
                </c:pt>
                <c:pt idx="30">
                  <c:v>1079.2990590738561</c:v>
                </c:pt>
                <c:pt idx="31">
                  <c:v>1088.7202983007862</c:v>
                </c:pt>
                <c:pt idx="32">
                  <c:v>1091.4612662777085</c:v>
                </c:pt>
                <c:pt idx="33">
                  <c:v>1094.6443481189535</c:v>
                </c:pt>
                <c:pt idx="34">
                  <c:v>1095.4228392518417</c:v>
                </c:pt>
                <c:pt idx="35">
                  <c:v>1095.8110678086007</c:v>
                </c:pt>
                <c:pt idx="36">
                  <c:v>1098.1309495533737</c:v>
                </c:pt>
                <c:pt idx="37">
                  <c:v>1100.4843426720881</c:v>
                </c:pt>
                <c:pt idx="38">
                  <c:v>1107.0102937883917</c:v>
                </c:pt>
                <c:pt idx="39">
                  <c:v>1110.7391019295785</c:v>
                </c:pt>
                <c:pt idx="40">
                  <c:v>1114.4701922239933</c:v>
                </c:pt>
                <c:pt idx="41">
                  <c:v>1117.2308159433462</c:v>
                </c:pt>
                <c:pt idx="42">
                  <c:v>1124.1399139000882</c:v>
                </c:pt>
                <c:pt idx="43">
                  <c:v>1125.4113181040277</c:v>
                </c:pt>
                <c:pt idx="44">
                  <c:v>1127.8827053456105</c:v>
                </c:pt>
                <c:pt idx="45">
                  <c:v>1130.0988987686169</c:v>
                </c:pt>
                <c:pt idx="46">
                  <c:v>1132.3262772503567</c:v>
                </c:pt>
                <c:pt idx="47">
                  <c:v>1139.9393283398972</c:v>
                </c:pt>
                <c:pt idx="48">
                  <c:v>1140.5880866650361</c:v>
                </c:pt>
                <c:pt idx="49">
                  <c:v>1147.4116772706927</c:v>
                </c:pt>
                <c:pt idx="50">
                  <c:v>1153.5482253553553</c:v>
                </c:pt>
                <c:pt idx="51">
                  <c:v>1154.9582317045192</c:v>
                </c:pt>
                <c:pt idx="52">
                  <c:v>1159.5116844485849</c:v>
                </c:pt>
                <c:pt idx="53">
                  <c:v>1160.9650630363594</c:v>
                </c:pt>
                <c:pt idx="54">
                  <c:v>1161.646173827377</c:v>
                </c:pt>
                <c:pt idx="55">
                  <c:v>1162.1459034107575</c:v>
                </c:pt>
                <c:pt idx="56">
                  <c:v>1163.1678214566846</c:v>
                </c:pt>
                <c:pt idx="57">
                  <c:v>1163.4596867131554</c:v>
                </c:pt>
                <c:pt idx="58">
                  <c:v>1168.5619283572441</c:v>
                </c:pt>
                <c:pt idx="59">
                  <c:v>1173.8423962392319</c:v>
                </c:pt>
                <c:pt idx="60">
                  <c:v>1179.2223519510994</c:v>
                </c:pt>
                <c:pt idx="61">
                  <c:v>1183.2833544900275</c:v>
                </c:pt>
                <c:pt idx="62">
                  <c:v>1186.3489750210804</c:v>
                </c:pt>
                <c:pt idx="63">
                  <c:v>1200.125847087761</c:v>
                </c:pt>
                <c:pt idx="64">
                  <c:v>1208.6721084066348</c:v>
                </c:pt>
                <c:pt idx="65">
                  <c:v>1215.7205636574927</c:v>
                </c:pt>
                <c:pt idx="66">
                  <c:v>1232.7640377565244</c:v>
                </c:pt>
                <c:pt idx="67">
                  <c:v>1255.395543352493</c:v>
                </c:pt>
                <c:pt idx="68">
                  <c:v>1290.8677334605325</c:v>
                </c:pt>
                <c:pt idx="69">
                  <c:v>1291.0247613209954</c:v>
                </c:pt>
                <c:pt idx="70">
                  <c:v>1298.1921711729444</c:v>
                </c:pt>
                <c:pt idx="71">
                  <c:v>1315.7586027175439</c:v>
                </c:pt>
                <c:pt idx="72">
                  <c:v>1332.0845869584575</c:v>
                </c:pt>
                <c:pt idx="73">
                  <c:v>1334.8389528427297</c:v>
                </c:pt>
                <c:pt idx="74">
                  <c:v>1720.2776367456268</c:v>
                </c:pt>
                <c:pt idx="75">
                  <c:v>1735.0439313139341</c:v>
                </c:pt>
                <c:pt idx="76">
                  <c:v>1764.4055702301271</c:v>
                </c:pt>
                <c:pt idx="77">
                  <c:v>1844.7430095009045</c:v>
                </c:pt>
                <c:pt idx="78">
                  <c:v>1878.6775656496629</c:v>
                </c:pt>
                <c:pt idx="79">
                  <c:v>1975.0756911195276</c:v>
                </c:pt>
                <c:pt idx="80">
                  <c:v>1999.6107575604997</c:v>
                </c:pt>
                <c:pt idx="81">
                  <c:v>2967.3796831762497</c:v>
                </c:pt>
                <c:pt idx="82">
                  <c:v>3224.6994003163645</c:v>
                </c:pt>
                <c:pt idx="83">
                  <c:v>3795.9743473477047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038912"/>
        <c:axId val="80040704"/>
      </c:lineChart>
      <c:catAx>
        <c:axId val="800389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80040704"/>
        <c:crosses val="autoZero"/>
        <c:auto val="1"/>
        <c:lblAlgn val="ctr"/>
        <c:lblOffset val="100"/>
        <c:tickLblSkip val="1"/>
        <c:noMultiLvlLbl val="0"/>
      </c:catAx>
      <c:valAx>
        <c:axId val="8004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038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212911193226154E-2"/>
          <c:y val="0.92174692637104572"/>
          <c:w val="0.89366934937801079"/>
          <c:h val="3.7207901643873442E-2"/>
        </c:manualLayout>
      </c:layout>
      <c:overlay val="0"/>
      <c:txPr>
        <a:bodyPr/>
        <a:lstStyle/>
        <a:p>
          <a:pPr>
            <a:defRPr sz="6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marker>
            <c:symbol val="none"/>
          </c:marker>
          <c:xVal>
            <c:numRef>
              <c:f>Лист7!$L$6:$L$89</c:f>
              <c:numCache>
                <c:formatCode>General</c:formatCode>
                <c:ptCount val="84"/>
                <c:pt idx="0">
                  <c:v>1.4819329998518068E-4</c:v>
                </c:pt>
                <c:pt idx="1">
                  <c:v>1.8010379123198962E-3</c:v>
                </c:pt>
                <c:pt idx="2">
                  <c:v>4.9648250620035177E-3</c:v>
                </c:pt>
                <c:pt idx="3">
                  <c:v>1.6866424710813357E-2</c:v>
                </c:pt>
                <c:pt idx="4">
                  <c:v>3.1467309396853271E-2</c:v>
                </c:pt>
                <c:pt idx="5">
                  <c:v>3.8828042646117202E-2</c:v>
                </c:pt>
                <c:pt idx="6">
                  <c:v>5.6035591556896448E-2</c:v>
                </c:pt>
                <c:pt idx="7">
                  <c:v>7.472192785502782E-2</c:v>
                </c:pt>
                <c:pt idx="8">
                  <c:v>8.0205079954479508E-2</c:v>
                </c:pt>
                <c:pt idx="9">
                  <c:v>8.962059719103796E-2</c:v>
                </c:pt>
                <c:pt idx="10">
                  <c:v>0.1028451016522155</c:v>
                </c:pt>
                <c:pt idx="11">
                  <c:v>0.1129620904762038</c:v>
                </c:pt>
                <c:pt idx="12">
                  <c:v>0.12228219080027179</c:v>
                </c:pt>
                <c:pt idx="13">
                  <c:v>0.13845972637365403</c:v>
                </c:pt>
                <c:pt idx="14">
                  <c:v>0.15310115450968989</c:v>
                </c:pt>
                <c:pt idx="15">
                  <c:v>0.16887185753311279</c:v>
                </c:pt>
                <c:pt idx="16">
                  <c:v>0.18658375298134164</c:v>
                </c:pt>
                <c:pt idx="17">
                  <c:v>0.19286309455571371</c:v>
                </c:pt>
                <c:pt idx="18">
                  <c:v>0.20446411345455362</c:v>
                </c:pt>
                <c:pt idx="19">
                  <c:v>0.2210222681403978</c:v>
                </c:pt>
                <c:pt idx="20">
                  <c:v>0.23598839338890118</c:v>
                </c:pt>
                <c:pt idx="21">
                  <c:v>0.25333330071216664</c:v>
                </c:pt>
                <c:pt idx="22">
                  <c:v>0.26644945629835509</c:v>
                </c:pt>
                <c:pt idx="23">
                  <c:v>0.27405345024759464</c:v>
                </c:pt>
                <c:pt idx="24">
                  <c:v>0.27928355529707166</c:v>
                </c:pt>
                <c:pt idx="25">
                  <c:v>0.28371467477162854</c:v>
                </c:pt>
                <c:pt idx="26">
                  <c:v>0.29367263540813277</c:v>
                </c:pt>
                <c:pt idx="27">
                  <c:v>0.30316574441968347</c:v>
                </c:pt>
                <c:pt idx="28">
                  <c:v>0.32064136941793592</c:v>
                </c:pt>
                <c:pt idx="29">
                  <c:v>0.3407016393534299</c:v>
                </c:pt>
                <c:pt idx="30">
                  <c:v>0.3510751703523925</c:v>
                </c:pt>
                <c:pt idx="31">
                  <c:v>0.36022785418897718</c:v>
                </c:pt>
                <c:pt idx="32">
                  <c:v>0.36808664275069131</c:v>
                </c:pt>
                <c:pt idx="33">
                  <c:v>0.37685276576231475</c:v>
                </c:pt>
                <c:pt idx="34">
                  <c:v>0.39093497389840653</c:v>
                </c:pt>
                <c:pt idx="35">
                  <c:v>0.40345870579715415</c:v>
                </c:pt>
                <c:pt idx="36">
                  <c:v>0.40990057068400998</c:v>
                </c:pt>
                <c:pt idx="37">
                  <c:v>0.42227890538277213</c:v>
                </c:pt>
                <c:pt idx="38">
                  <c:v>0.43740825296875924</c:v>
                </c:pt>
                <c:pt idx="39">
                  <c:v>0.44716524391778356</c:v>
                </c:pt>
                <c:pt idx="40">
                  <c:v>0.45194342930480574</c:v>
                </c:pt>
                <c:pt idx="41">
                  <c:v>0.46791615055320845</c:v>
                </c:pt>
                <c:pt idx="42">
                  <c:v>0.48699638743880047</c:v>
                </c:pt>
                <c:pt idx="43">
                  <c:v>0.49470907977552925</c:v>
                </c:pt>
                <c:pt idx="44">
                  <c:v>0.50278421657472161</c:v>
                </c:pt>
                <c:pt idx="45">
                  <c:v>0.50806395239919366</c:v>
                </c:pt>
                <c:pt idx="46">
                  <c:v>0.51419055701108096</c:v>
                </c:pt>
                <c:pt idx="47">
                  <c:v>0.524229954060077</c:v>
                </c:pt>
                <c:pt idx="48">
                  <c:v>0.55403148688209691</c:v>
                </c:pt>
                <c:pt idx="49">
                  <c:v>0.58150491694184958</c:v>
                </c:pt>
                <c:pt idx="50">
                  <c:v>0.58724496072877552</c:v>
                </c:pt>
                <c:pt idx="51">
                  <c:v>0.59944050039005592</c:v>
                </c:pt>
                <c:pt idx="52">
                  <c:v>0.6194427512505557</c:v>
                </c:pt>
                <c:pt idx="53">
                  <c:v>0.64914642057258543</c:v>
                </c:pt>
                <c:pt idx="54">
                  <c:v>0.67608998968239098</c:v>
                </c:pt>
                <c:pt idx="55">
                  <c:v>0.68840611115615935</c:v>
                </c:pt>
                <c:pt idx="56">
                  <c:v>0.69497939274300213</c:v>
                </c:pt>
                <c:pt idx="57">
                  <c:v>0.70125768577987424</c:v>
                </c:pt>
                <c:pt idx="58">
                  <c:v>0.71441962750355803</c:v>
                </c:pt>
                <c:pt idx="59">
                  <c:v>0.73555709496394428</c:v>
                </c:pt>
                <c:pt idx="60">
                  <c:v>0.7511733134623827</c:v>
                </c:pt>
                <c:pt idx="61">
                  <c:v>0.75995865966150411</c:v>
                </c:pt>
                <c:pt idx="62">
                  <c:v>0.76698176383580186</c:v>
                </c:pt>
                <c:pt idx="63">
                  <c:v>0.77151389242284862</c:v>
                </c:pt>
                <c:pt idx="64">
                  <c:v>0.77711028657228898</c:v>
                </c:pt>
                <c:pt idx="65">
                  <c:v>0.78526441319647355</c:v>
                </c:pt>
                <c:pt idx="66">
                  <c:v>0.79692554824530737</c:v>
                </c:pt>
                <c:pt idx="67">
                  <c:v>0.81374828389362519</c:v>
                </c:pt>
                <c:pt idx="68">
                  <c:v>0.82811115056718887</c:v>
                </c:pt>
                <c:pt idx="69">
                  <c:v>0.83478928590402102</c:v>
                </c:pt>
                <c:pt idx="70">
                  <c:v>0.83890060144110989</c:v>
                </c:pt>
                <c:pt idx="71">
                  <c:v>0.8436476802156353</c:v>
                </c:pt>
                <c:pt idx="72">
                  <c:v>0.84712882471528717</c:v>
                </c:pt>
                <c:pt idx="73">
                  <c:v>0.86505042766349505</c:v>
                </c:pt>
                <c:pt idx="74">
                  <c:v>0.88547244303645278</c:v>
                </c:pt>
                <c:pt idx="75">
                  <c:v>0.89031389018596863</c:v>
                </c:pt>
                <c:pt idx="76">
                  <c:v>0.89479953361052</c:v>
                </c:pt>
                <c:pt idx="77">
                  <c:v>0.90089433258491047</c:v>
                </c:pt>
                <c:pt idx="78">
                  <c:v>0.9096915622090308</c:v>
                </c:pt>
                <c:pt idx="79">
                  <c:v>0.91626729038337329</c:v>
                </c:pt>
                <c:pt idx="80">
                  <c:v>0.91792642622070741</c:v>
                </c:pt>
                <c:pt idx="81">
                  <c:v>0.91864467440813558</c:v>
                </c:pt>
                <c:pt idx="82">
                  <c:v>0.95941146289155899</c:v>
                </c:pt>
                <c:pt idx="83">
                  <c:v>1</c:v>
                </c:pt>
              </c:numCache>
            </c:numRef>
          </c:xVal>
          <c:yVal>
            <c:numRef>
              <c:f>Лист7!$M$6:$M$89</c:f>
              <c:numCache>
                <c:formatCode>General</c:formatCode>
                <c:ptCount val="84"/>
                <c:pt idx="0">
                  <c:v>0</c:v>
                </c:pt>
                <c:pt idx="1">
                  <c:v>1.3055273021150946E-4</c:v>
                </c:pt>
                <c:pt idx="2">
                  <c:v>5.0821238987506438E-4</c:v>
                </c:pt>
                <c:pt idx="3">
                  <c:v>2.7091863223803422E-3</c:v>
                </c:pt>
                <c:pt idx="4">
                  <c:v>5.57498840027489E-3</c:v>
                </c:pt>
                <c:pt idx="5">
                  <c:v>7.1765082730164062E-3</c:v>
                </c:pt>
                <c:pt idx="6">
                  <c:v>1.1153330355189818E-2</c:v>
                </c:pt>
                <c:pt idx="7">
                  <c:v>1.5580815138884626E-2</c:v>
                </c:pt>
                <c:pt idx="8">
                  <c:v>1.6981972172521675E-2</c:v>
                </c:pt>
                <c:pt idx="9">
                  <c:v>1.9445942593296215E-2</c:v>
                </c:pt>
                <c:pt idx="10">
                  <c:v>2.30133130146539E-2</c:v>
                </c:pt>
                <c:pt idx="11">
                  <c:v>2.5981030096800441E-2</c:v>
                </c:pt>
                <c:pt idx="12">
                  <c:v>2.8804649018212308E-2</c:v>
                </c:pt>
                <c:pt idx="13">
                  <c:v>3.381085221032766E-2</c:v>
                </c:pt>
                <c:pt idx="14">
                  <c:v>3.8390753750464447E-2</c:v>
                </c:pt>
                <c:pt idx="15">
                  <c:v>4.3536932615299159E-2</c:v>
                </c:pt>
                <c:pt idx="16">
                  <c:v>4.9354068146425588E-2</c:v>
                </c:pt>
                <c:pt idx="17">
                  <c:v>5.1441316462591237E-2</c:v>
                </c:pt>
                <c:pt idx="18">
                  <c:v>5.5376181675318562E-2</c:v>
                </c:pt>
                <c:pt idx="19">
                  <c:v>6.1052382090274811E-2</c:v>
                </c:pt>
                <c:pt idx="20">
                  <c:v>6.6356864278238406E-2</c:v>
                </c:pt>
                <c:pt idx="21">
                  <c:v>7.2720039738067829E-2</c:v>
                </c:pt>
                <c:pt idx="22">
                  <c:v>7.7653340525436793E-2</c:v>
                </c:pt>
                <c:pt idx="23">
                  <c:v>8.0586780227749955E-2</c:v>
                </c:pt>
                <c:pt idx="24">
                  <c:v>8.2607487041607391E-2</c:v>
                </c:pt>
                <c:pt idx="25">
                  <c:v>8.4336579745151699E-2</c:v>
                </c:pt>
                <c:pt idx="26">
                  <c:v>8.8252908594626811E-2</c:v>
                </c:pt>
                <c:pt idx="27">
                  <c:v>9.2001536044853977E-2</c:v>
                </c:pt>
                <c:pt idx="28">
                  <c:v>9.9047097727838859E-2</c:v>
                </c:pt>
                <c:pt idx="29">
                  <c:v>0.10715948182567878</c:v>
                </c:pt>
                <c:pt idx="30">
                  <c:v>0.11141511194633741</c:v>
                </c:pt>
                <c:pt idx="31">
                  <c:v>0.11522678521812731</c:v>
                </c:pt>
                <c:pt idx="32">
                  <c:v>0.11853503489764544</c:v>
                </c:pt>
                <c:pt idx="33">
                  <c:v>0.12225198947103445</c:v>
                </c:pt>
                <c:pt idx="34">
                  <c:v>0.12829680462814591</c:v>
                </c:pt>
                <c:pt idx="35">
                  <c:v>0.13370822117140721</c:v>
                </c:pt>
                <c:pt idx="36">
                  <c:v>0.13658353238612778</c:v>
                </c:pt>
                <c:pt idx="37">
                  <c:v>0.14232272662088122</c:v>
                </c:pt>
                <c:pt idx="38">
                  <c:v>0.14939840878524002</c:v>
                </c:pt>
                <c:pt idx="39">
                  <c:v>0.15399084186123602</c:v>
                </c:pt>
                <c:pt idx="40">
                  <c:v>0.15624277003469741</c:v>
                </c:pt>
                <c:pt idx="41">
                  <c:v>0.16393108369001261</c:v>
                </c:pt>
                <c:pt idx="42">
                  <c:v>0.17316450431991276</c:v>
                </c:pt>
                <c:pt idx="43">
                  <c:v>0.17697737735612604</c:v>
                </c:pt>
                <c:pt idx="44">
                  <c:v>0.18103170931762597</c:v>
                </c:pt>
                <c:pt idx="45">
                  <c:v>0.18370248684651536</c:v>
                </c:pt>
                <c:pt idx="46">
                  <c:v>0.18685672358174885</c:v>
                </c:pt>
                <c:pt idx="47">
                  <c:v>0.19203957225132948</c:v>
                </c:pt>
                <c:pt idx="48">
                  <c:v>0.20762083932302178</c:v>
                </c:pt>
                <c:pt idx="49">
                  <c:v>0.2220190665349088</c:v>
                </c:pt>
                <c:pt idx="50">
                  <c:v>0.22508144583437906</c:v>
                </c:pt>
                <c:pt idx="51">
                  <c:v>0.23165966161228924</c:v>
                </c:pt>
                <c:pt idx="52">
                  <c:v>0.24261250502830412</c:v>
                </c:pt>
                <c:pt idx="53">
                  <c:v>0.25911074463168926</c:v>
                </c:pt>
                <c:pt idx="54">
                  <c:v>0.2741330874997136</c:v>
                </c:pt>
                <c:pt idx="55">
                  <c:v>0.28107294893616486</c:v>
                </c:pt>
                <c:pt idx="56">
                  <c:v>0.28485230710492959</c:v>
                </c:pt>
                <c:pt idx="57">
                  <c:v>0.2885301723545215</c:v>
                </c:pt>
                <c:pt idx="58">
                  <c:v>0.29646603110713549</c:v>
                </c:pt>
                <c:pt idx="59">
                  <c:v>0.30948243304191647</c:v>
                </c:pt>
                <c:pt idx="60">
                  <c:v>0.31921509019861227</c:v>
                </c:pt>
                <c:pt idx="61">
                  <c:v>0.32472924778164908</c:v>
                </c:pt>
                <c:pt idx="62">
                  <c:v>0.32921265690223406</c:v>
                </c:pt>
                <c:pt idx="63">
                  <c:v>0.33221114922380368</c:v>
                </c:pt>
                <c:pt idx="64">
                  <c:v>0.33601690421299479</c:v>
                </c:pt>
                <c:pt idx="65">
                  <c:v>0.34162559452977209</c:v>
                </c:pt>
                <c:pt idx="66">
                  <c:v>0.34969809530496959</c:v>
                </c:pt>
                <c:pt idx="67">
                  <c:v>0.36157755853810514</c:v>
                </c:pt>
                <c:pt idx="68">
                  <c:v>0.37185904932376801</c:v>
                </c:pt>
                <c:pt idx="69">
                  <c:v>0.37674041806075653</c:v>
                </c:pt>
                <c:pt idx="70">
                  <c:v>0.37984567052262413</c:v>
                </c:pt>
                <c:pt idx="71">
                  <c:v>0.3834702125979465</c:v>
                </c:pt>
                <c:pt idx="72">
                  <c:v>0.38614333136496076</c:v>
                </c:pt>
                <c:pt idx="73">
                  <c:v>0.40040969211114241</c:v>
                </c:pt>
                <c:pt idx="74">
                  <c:v>0.41727539183574153</c:v>
                </c:pt>
                <c:pt idx="75">
                  <c:v>0.42214462059561836</c:v>
                </c:pt>
                <c:pt idx="76">
                  <c:v>0.42687465715488337</c:v>
                </c:pt>
                <c:pt idx="77">
                  <c:v>0.43361778902898479</c:v>
                </c:pt>
                <c:pt idx="78">
                  <c:v>0.44419266689956488</c:v>
                </c:pt>
                <c:pt idx="79">
                  <c:v>0.45275388532608113</c:v>
                </c:pt>
                <c:pt idx="80">
                  <c:v>0.45559116654884985</c:v>
                </c:pt>
                <c:pt idx="81">
                  <c:v>0.45698640669144341</c:v>
                </c:pt>
                <c:pt idx="82">
                  <c:v>0.72867195904319471</c:v>
                </c:pt>
                <c:pt idx="83">
                  <c:v>1</c:v>
                </c:pt>
              </c:numCache>
            </c:numRef>
          </c:yVal>
          <c:smooth val="0"/>
        </c:ser>
        <c:ser>
          <c:idx val="1"/>
          <c:order val="1"/>
          <c:tx>
            <c:v>диагональ</c:v>
          </c:tx>
          <c:marker>
            <c:symbol val="none"/>
          </c:marker>
          <c:xVal>
            <c:numRef>
              <c:f>Лист7!$L$6:$L$89</c:f>
              <c:numCache>
                <c:formatCode>General</c:formatCode>
                <c:ptCount val="84"/>
                <c:pt idx="0">
                  <c:v>1.4819329998518068E-4</c:v>
                </c:pt>
                <c:pt idx="1">
                  <c:v>1.8010379123198962E-3</c:v>
                </c:pt>
                <c:pt idx="2">
                  <c:v>4.9648250620035177E-3</c:v>
                </c:pt>
                <c:pt idx="3">
                  <c:v>1.6866424710813357E-2</c:v>
                </c:pt>
                <c:pt idx="4">
                  <c:v>3.1467309396853271E-2</c:v>
                </c:pt>
                <c:pt idx="5">
                  <c:v>3.8828042646117202E-2</c:v>
                </c:pt>
                <c:pt idx="6">
                  <c:v>5.6035591556896448E-2</c:v>
                </c:pt>
                <c:pt idx="7">
                  <c:v>7.472192785502782E-2</c:v>
                </c:pt>
                <c:pt idx="8">
                  <c:v>8.0205079954479508E-2</c:v>
                </c:pt>
                <c:pt idx="9">
                  <c:v>8.962059719103796E-2</c:v>
                </c:pt>
                <c:pt idx="10">
                  <c:v>0.1028451016522155</c:v>
                </c:pt>
                <c:pt idx="11">
                  <c:v>0.1129620904762038</c:v>
                </c:pt>
                <c:pt idx="12">
                  <c:v>0.12228219080027179</c:v>
                </c:pt>
                <c:pt idx="13">
                  <c:v>0.13845972637365403</c:v>
                </c:pt>
                <c:pt idx="14">
                  <c:v>0.15310115450968989</c:v>
                </c:pt>
                <c:pt idx="15">
                  <c:v>0.16887185753311279</c:v>
                </c:pt>
                <c:pt idx="16">
                  <c:v>0.18658375298134164</c:v>
                </c:pt>
                <c:pt idx="17">
                  <c:v>0.19286309455571371</c:v>
                </c:pt>
                <c:pt idx="18">
                  <c:v>0.20446411345455362</c:v>
                </c:pt>
                <c:pt idx="19">
                  <c:v>0.2210222681403978</c:v>
                </c:pt>
                <c:pt idx="20">
                  <c:v>0.23598839338890118</c:v>
                </c:pt>
                <c:pt idx="21">
                  <c:v>0.25333330071216664</c:v>
                </c:pt>
                <c:pt idx="22">
                  <c:v>0.26644945629835509</c:v>
                </c:pt>
                <c:pt idx="23">
                  <c:v>0.27405345024759464</c:v>
                </c:pt>
                <c:pt idx="24">
                  <c:v>0.27928355529707166</c:v>
                </c:pt>
                <c:pt idx="25">
                  <c:v>0.28371467477162854</c:v>
                </c:pt>
                <c:pt idx="26">
                  <c:v>0.29367263540813277</c:v>
                </c:pt>
                <c:pt idx="27">
                  <c:v>0.30316574441968347</c:v>
                </c:pt>
                <c:pt idx="28">
                  <c:v>0.32064136941793592</c:v>
                </c:pt>
                <c:pt idx="29">
                  <c:v>0.3407016393534299</c:v>
                </c:pt>
                <c:pt idx="30">
                  <c:v>0.3510751703523925</c:v>
                </c:pt>
                <c:pt idx="31">
                  <c:v>0.36022785418897718</c:v>
                </c:pt>
                <c:pt idx="32">
                  <c:v>0.36808664275069131</c:v>
                </c:pt>
                <c:pt idx="33">
                  <c:v>0.37685276576231475</c:v>
                </c:pt>
                <c:pt idx="34">
                  <c:v>0.39093497389840653</c:v>
                </c:pt>
                <c:pt idx="35">
                  <c:v>0.40345870579715415</c:v>
                </c:pt>
                <c:pt idx="36">
                  <c:v>0.40990057068400998</c:v>
                </c:pt>
                <c:pt idx="37">
                  <c:v>0.42227890538277213</c:v>
                </c:pt>
                <c:pt idx="38">
                  <c:v>0.43740825296875924</c:v>
                </c:pt>
                <c:pt idx="39">
                  <c:v>0.44716524391778356</c:v>
                </c:pt>
                <c:pt idx="40">
                  <c:v>0.45194342930480574</c:v>
                </c:pt>
                <c:pt idx="41">
                  <c:v>0.46791615055320845</c:v>
                </c:pt>
                <c:pt idx="42">
                  <c:v>0.48699638743880047</c:v>
                </c:pt>
                <c:pt idx="43">
                  <c:v>0.49470907977552925</c:v>
                </c:pt>
                <c:pt idx="44">
                  <c:v>0.50278421657472161</c:v>
                </c:pt>
                <c:pt idx="45">
                  <c:v>0.50806395239919366</c:v>
                </c:pt>
                <c:pt idx="46">
                  <c:v>0.51419055701108096</c:v>
                </c:pt>
                <c:pt idx="47">
                  <c:v>0.524229954060077</c:v>
                </c:pt>
                <c:pt idx="48">
                  <c:v>0.55403148688209691</c:v>
                </c:pt>
                <c:pt idx="49">
                  <c:v>0.58150491694184958</c:v>
                </c:pt>
                <c:pt idx="50">
                  <c:v>0.58724496072877552</c:v>
                </c:pt>
                <c:pt idx="51">
                  <c:v>0.59944050039005592</c:v>
                </c:pt>
                <c:pt idx="52">
                  <c:v>0.6194427512505557</c:v>
                </c:pt>
                <c:pt idx="53">
                  <c:v>0.64914642057258543</c:v>
                </c:pt>
                <c:pt idx="54">
                  <c:v>0.67608998968239098</c:v>
                </c:pt>
                <c:pt idx="55">
                  <c:v>0.68840611115615935</c:v>
                </c:pt>
                <c:pt idx="56">
                  <c:v>0.69497939274300213</c:v>
                </c:pt>
                <c:pt idx="57">
                  <c:v>0.70125768577987424</c:v>
                </c:pt>
                <c:pt idx="58">
                  <c:v>0.71441962750355803</c:v>
                </c:pt>
                <c:pt idx="59">
                  <c:v>0.73555709496394428</c:v>
                </c:pt>
                <c:pt idx="60">
                  <c:v>0.7511733134623827</c:v>
                </c:pt>
                <c:pt idx="61">
                  <c:v>0.75995865966150411</c:v>
                </c:pt>
                <c:pt idx="62">
                  <c:v>0.76698176383580186</c:v>
                </c:pt>
                <c:pt idx="63">
                  <c:v>0.77151389242284862</c:v>
                </c:pt>
                <c:pt idx="64">
                  <c:v>0.77711028657228898</c:v>
                </c:pt>
                <c:pt idx="65">
                  <c:v>0.78526441319647355</c:v>
                </c:pt>
                <c:pt idx="66">
                  <c:v>0.79692554824530737</c:v>
                </c:pt>
                <c:pt idx="67">
                  <c:v>0.81374828389362519</c:v>
                </c:pt>
                <c:pt idx="68">
                  <c:v>0.82811115056718887</c:v>
                </c:pt>
                <c:pt idx="69">
                  <c:v>0.83478928590402102</c:v>
                </c:pt>
                <c:pt idx="70">
                  <c:v>0.83890060144110989</c:v>
                </c:pt>
                <c:pt idx="71">
                  <c:v>0.8436476802156353</c:v>
                </c:pt>
                <c:pt idx="72">
                  <c:v>0.84712882471528717</c:v>
                </c:pt>
                <c:pt idx="73">
                  <c:v>0.86505042766349505</c:v>
                </c:pt>
                <c:pt idx="74">
                  <c:v>0.88547244303645278</c:v>
                </c:pt>
                <c:pt idx="75">
                  <c:v>0.89031389018596863</c:v>
                </c:pt>
                <c:pt idx="76">
                  <c:v>0.89479953361052</c:v>
                </c:pt>
                <c:pt idx="77">
                  <c:v>0.90089433258491047</c:v>
                </c:pt>
                <c:pt idx="78">
                  <c:v>0.9096915622090308</c:v>
                </c:pt>
                <c:pt idx="79">
                  <c:v>0.91626729038337329</c:v>
                </c:pt>
                <c:pt idx="80">
                  <c:v>0.91792642622070741</c:v>
                </c:pt>
                <c:pt idx="81">
                  <c:v>0.91864467440813558</c:v>
                </c:pt>
                <c:pt idx="82">
                  <c:v>0.95941146289155899</c:v>
                </c:pt>
                <c:pt idx="83">
                  <c:v>1</c:v>
                </c:pt>
              </c:numCache>
            </c:numRef>
          </c:xVal>
          <c:yVal>
            <c:numRef>
              <c:f>Лист7!$N$6:$N$89</c:f>
              <c:numCache>
                <c:formatCode>General</c:formatCode>
                <c:ptCount val="84"/>
                <c:pt idx="0">
                  <c:v>1.4819329998518068E-4</c:v>
                </c:pt>
                <c:pt idx="1">
                  <c:v>1.8010379123198962E-3</c:v>
                </c:pt>
                <c:pt idx="2">
                  <c:v>4.9648250620035177E-3</c:v>
                </c:pt>
                <c:pt idx="3">
                  <c:v>1.6866424710813357E-2</c:v>
                </c:pt>
                <c:pt idx="4">
                  <c:v>3.1467309396853271E-2</c:v>
                </c:pt>
                <c:pt idx="5">
                  <c:v>3.8828042646117202E-2</c:v>
                </c:pt>
                <c:pt idx="6">
                  <c:v>5.6035591556896448E-2</c:v>
                </c:pt>
                <c:pt idx="7">
                  <c:v>7.472192785502782E-2</c:v>
                </c:pt>
                <c:pt idx="8">
                  <c:v>8.0205079954479508E-2</c:v>
                </c:pt>
                <c:pt idx="9">
                  <c:v>8.962059719103796E-2</c:v>
                </c:pt>
                <c:pt idx="10">
                  <c:v>0.1028451016522155</c:v>
                </c:pt>
                <c:pt idx="11">
                  <c:v>0.1129620904762038</c:v>
                </c:pt>
                <c:pt idx="12">
                  <c:v>0.12228219080027179</c:v>
                </c:pt>
                <c:pt idx="13">
                  <c:v>0.13845972637365403</c:v>
                </c:pt>
                <c:pt idx="14">
                  <c:v>0.15310115450968989</c:v>
                </c:pt>
                <c:pt idx="15">
                  <c:v>0.16887185753311279</c:v>
                </c:pt>
                <c:pt idx="16">
                  <c:v>0.18658375298134164</c:v>
                </c:pt>
                <c:pt idx="17">
                  <c:v>0.19286309455571371</c:v>
                </c:pt>
                <c:pt idx="18">
                  <c:v>0.20446411345455362</c:v>
                </c:pt>
                <c:pt idx="19">
                  <c:v>0.2210222681403978</c:v>
                </c:pt>
                <c:pt idx="20">
                  <c:v>0.23598839338890118</c:v>
                </c:pt>
                <c:pt idx="21">
                  <c:v>0.25333330071216664</c:v>
                </c:pt>
                <c:pt idx="22">
                  <c:v>0.26644945629835509</c:v>
                </c:pt>
                <c:pt idx="23">
                  <c:v>0.27405345024759464</c:v>
                </c:pt>
                <c:pt idx="24">
                  <c:v>0.27928355529707166</c:v>
                </c:pt>
                <c:pt idx="25">
                  <c:v>0.28371467477162854</c:v>
                </c:pt>
                <c:pt idx="26">
                  <c:v>0.29367263540813277</c:v>
                </c:pt>
                <c:pt idx="27">
                  <c:v>0.30316574441968347</c:v>
                </c:pt>
                <c:pt idx="28">
                  <c:v>0.32064136941793592</c:v>
                </c:pt>
                <c:pt idx="29">
                  <c:v>0.3407016393534299</c:v>
                </c:pt>
                <c:pt idx="30">
                  <c:v>0.3510751703523925</c:v>
                </c:pt>
                <c:pt idx="31">
                  <c:v>0.36022785418897718</c:v>
                </c:pt>
                <c:pt idx="32">
                  <c:v>0.36808664275069131</c:v>
                </c:pt>
                <c:pt idx="33">
                  <c:v>0.37685276576231475</c:v>
                </c:pt>
                <c:pt idx="34">
                  <c:v>0.39093497389840653</c:v>
                </c:pt>
                <c:pt idx="35">
                  <c:v>0.40345870579715415</c:v>
                </c:pt>
                <c:pt idx="36">
                  <c:v>0.40990057068400998</c:v>
                </c:pt>
                <c:pt idx="37">
                  <c:v>0.42227890538277213</c:v>
                </c:pt>
                <c:pt idx="38">
                  <c:v>0.43740825296875924</c:v>
                </c:pt>
                <c:pt idx="39">
                  <c:v>0.44716524391778356</c:v>
                </c:pt>
                <c:pt idx="40">
                  <c:v>0.45194342930480574</c:v>
                </c:pt>
                <c:pt idx="41">
                  <c:v>0.46791615055320845</c:v>
                </c:pt>
                <c:pt idx="42">
                  <c:v>0.48699638743880047</c:v>
                </c:pt>
                <c:pt idx="43">
                  <c:v>0.49470907977552925</c:v>
                </c:pt>
                <c:pt idx="44">
                  <c:v>0.50278421657472161</c:v>
                </c:pt>
                <c:pt idx="45">
                  <c:v>0.50806395239919366</c:v>
                </c:pt>
                <c:pt idx="46">
                  <c:v>0.51419055701108096</c:v>
                </c:pt>
                <c:pt idx="47">
                  <c:v>0.524229954060077</c:v>
                </c:pt>
                <c:pt idx="48">
                  <c:v>0.55403148688209691</c:v>
                </c:pt>
                <c:pt idx="49">
                  <c:v>0.58150491694184958</c:v>
                </c:pt>
                <c:pt idx="50">
                  <c:v>0.58724496072877552</c:v>
                </c:pt>
                <c:pt idx="51">
                  <c:v>0.59944050039005592</c:v>
                </c:pt>
                <c:pt idx="52">
                  <c:v>0.6194427512505557</c:v>
                </c:pt>
                <c:pt idx="53">
                  <c:v>0.64914642057258543</c:v>
                </c:pt>
                <c:pt idx="54">
                  <c:v>0.67608998968239098</c:v>
                </c:pt>
                <c:pt idx="55">
                  <c:v>0.68840611115615935</c:v>
                </c:pt>
                <c:pt idx="56">
                  <c:v>0.69497939274300213</c:v>
                </c:pt>
                <c:pt idx="57">
                  <c:v>0.70125768577987424</c:v>
                </c:pt>
                <c:pt idx="58">
                  <c:v>0.71441962750355803</c:v>
                </c:pt>
                <c:pt idx="59">
                  <c:v>0.73555709496394428</c:v>
                </c:pt>
                <c:pt idx="60">
                  <c:v>0.7511733134623827</c:v>
                </c:pt>
                <c:pt idx="61">
                  <c:v>0.75995865966150411</c:v>
                </c:pt>
                <c:pt idx="62">
                  <c:v>0.76698176383580186</c:v>
                </c:pt>
                <c:pt idx="63">
                  <c:v>0.77151389242284862</c:v>
                </c:pt>
                <c:pt idx="64">
                  <c:v>0.77711028657228898</c:v>
                </c:pt>
                <c:pt idx="65">
                  <c:v>0.78526441319647355</c:v>
                </c:pt>
                <c:pt idx="66">
                  <c:v>0.79692554824530737</c:v>
                </c:pt>
                <c:pt idx="67">
                  <c:v>0.81374828389362519</c:v>
                </c:pt>
                <c:pt idx="68">
                  <c:v>0.82811115056718887</c:v>
                </c:pt>
                <c:pt idx="69">
                  <c:v>0.83478928590402102</c:v>
                </c:pt>
                <c:pt idx="70">
                  <c:v>0.83890060144110989</c:v>
                </c:pt>
                <c:pt idx="71">
                  <c:v>0.8436476802156353</c:v>
                </c:pt>
                <c:pt idx="72">
                  <c:v>0.84712882471528717</c:v>
                </c:pt>
                <c:pt idx="73">
                  <c:v>0.86505042766349505</c:v>
                </c:pt>
                <c:pt idx="74">
                  <c:v>0.88547244303645278</c:v>
                </c:pt>
                <c:pt idx="75">
                  <c:v>0.89031389018596863</c:v>
                </c:pt>
                <c:pt idx="76">
                  <c:v>0.89479953361052</c:v>
                </c:pt>
                <c:pt idx="77">
                  <c:v>0.90089433258491047</c:v>
                </c:pt>
                <c:pt idx="78">
                  <c:v>0.9096915622090308</c:v>
                </c:pt>
                <c:pt idx="79">
                  <c:v>0.91626729038337329</c:v>
                </c:pt>
                <c:pt idx="80">
                  <c:v>0.91792642622070741</c:v>
                </c:pt>
                <c:pt idx="81">
                  <c:v>0.91864467440813558</c:v>
                </c:pt>
                <c:pt idx="82">
                  <c:v>0.95941146289155899</c:v>
                </c:pt>
                <c:pt idx="83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067584"/>
        <c:axId val="80073472"/>
      </c:scatterChart>
      <c:valAx>
        <c:axId val="80067584"/>
        <c:scaling>
          <c:orientation val="minMax"/>
          <c:max val="1"/>
        </c:scaling>
        <c:delete val="0"/>
        <c:axPos val="b"/>
        <c:numFmt formatCode="General" sourceLinked="1"/>
        <c:majorTickMark val="out"/>
        <c:minorTickMark val="none"/>
        <c:tickLblPos val="nextTo"/>
        <c:crossAx val="80073472"/>
        <c:crosses val="autoZero"/>
        <c:crossBetween val="midCat"/>
      </c:valAx>
      <c:valAx>
        <c:axId val="80073472"/>
        <c:scaling>
          <c:orientation val="minMax"/>
          <c:max val="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06758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Лист5!$N$5:$N$88</c:f>
              <c:strCache>
                <c:ptCount val="84"/>
                <c:pt idx="0">
                  <c:v>Ненецкий автономный округ</c:v>
                </c:pt>
                <c:pt idx="1">
                  <c:v>Республика Ингушетия</c:v>
                </c:pt>
                <c:pt idx="2">
                  <c:v>Карачаево-Черкесская Республика</c:v>
                </c:pt>
                <c:pt idx="3">
                  <c:v>Республика Бурятия</c:v>
                </c:pt>
                <c:pt idx="4">
                  <c:v>Пермский край</c:v>
                </c:pt>
                <c:pt idx="5">
                  <c:v>Республика Башкортостан</c:v>
                </c:pt>
                <c:pt idx="6">
                  <c:v>Тульская область</c:v>
                </c:pt>
                <c:pt idx="7">
                  <c:v>Смоленская область</c:v>
                </c:pt>
                <c:pt idx="8">
                  <c:v>Еврейская автономная область</c:v>
                </c:pt>
                <c:pt idx="9">
                  <c:v>Иркутская область</c:v>
                </c:pt>
                <c:pt idx="10">
                  <c:v>Ивановская область</c:v>
                </c:pt>
                <c:pt idx="11">
                  <c:v>Кабардино-Балкарская Республика</c:v>
                </c:pt>
                <c:pt idx="12">
                  <c:v>Сахалинская область</c:v>
                </c:pt>
                <c:pt idx="13">
                  <c:v>Воронежская область</c:v>
                </c:pt>
                <c:pt idx="14">
                  <c:v>Белгородская область</c:v>
                </c:pt>
                <c:pt idx="15">
                  <c:v>Чеченская Республика</c:v>
                </c:pt>
                <c:pt idx="16">
                  <c:v>Ярославская область</c:v>
                </c:pt>
                <c:pt idx="17">
                  <c:v>Ленинградская область</c:v>
                </c:pt>
                <c:pt idx="18">
                  <c:v>Ставропольский край</c:v>
                </c:pt>
                <c:pt idx="19">
                  <c:v>Ростовская область</c:v>
                </c:pt>
                <c:pt idx="20">
                  <c:v>Ямало-Ненецкий автономный округ</c:v>
                </c:pt>
                <c:pt idx="21">
                  <c:v>Владимирская область</c:v>
                </c:pt>
                <c:pt idx="22">
                  <c:v>Хабаровский край</c:v>
                </c:pt>
                <c:pt idx="23">
                  <c:v>Томская область</c:v>
                </c:pt>
                <c:pt idx="24">
                  <c:v>Московская область</c:v>
                </c:pt>
                <c:pt idx="25">
                  <c:v>Ульяновская область</c:v>
                </c:pt>
                <c:pt idx="26">
                  <c:v>Приморский край</c:v>
                </c:pt>
                <c:pt idx="27">
                  <c:v>Рязанская область</c:v>
                </c:pt>
                <c:pt idx="28">
                  <c:v>Республика Калмыкия</c:v>
                </c:pt>
                <c:pt idx="29">
                  <c:v>г.Москва</c:v>
                </c:pt>
                <c:pt idx="30">
                  <c:v>Республика Дагестан</c:v>
                </c:pt>
                <c:pt idx="31">
                  <c:v>Архангельская область</c:v>
                </c:pt>
                <c:pt idx="32">
                  <c:v>Астраханская область</c:v>
                </c:pt>
                <c:pt idx="33">
                  <c:v>Нижегородская область</c:v>
                </c:pt>
                <c:pt idx="34">
                  <c:v>Краснодарский край</c:v>
                </c:pt>
                <c:pt idx="35">
                  <c:v>Амурская область</c:v>
                </c:pt>
                <c:pt idx="36">
                  <c:v>Новосибирская область</c:v>
                </c:pt>
                <c:pt idx="37">
                  <c:v>Челябинская область</c:v>
                </c:pt>
                <c:pt idx="38">
                  <c:v>г.Санкт-Петербург</c:v>
                </c:pt>
                <c:pt idx="39">
                  <c:v>Удмуртская Республика</c:v>
                </c:pt>
                <c:pt idx="40">
                  <c:v>Чувашская Республика-Чувашия</c:v>
                </c:pt>
                <c:pt idx="41">
                  <c:v>Калининградская область</c:v>
                </c:pt>
                <c:pt idx="42">
                  <c:v>Волгоградская область</c:v>
                </c:pt>
                <c:pt idx="43">
                  <c:v>Республика Саха (Якутия)</c:v>
                </c:pt>
                <c:pt idx="44">
                  <c:v>Брянская область</c:v>
                </c:pt>
                <c:pt idx="45">
                  <c:v>Мурманская область</c:v>
                </c:pt>
                <c:pt idx="46">
                  <c:v>Российская федерация</c:v>
                </c:pt>
                <c:pt idx="47">
                  <c:v>Республика Карелия</c:v>
                </c:pt>
                <c:pt idx="48">
                  <c:v>Новгородская область</c:v>
                </c:pt>
                <c:pt idx="49">
                  <c:v>Магаданская область</c:v>
                </c:pt>
                <c:pt idx="50">
                  <c:v>Пензенская область</c:v>
                </c:pt>
                <c:pt idx="51">
                  <c:v>Чукотский автономный округ</c:v>
                </c:pt>
                <c:pt idx="52">
                  <c:v>Омская область</c:v>
                </c:pt>
                <c:pt idx="53">
                  <c:v>Саратовская область</c:v>
                </c:pt>
                <c:pt idx="54">
                  <c:v>Курская область</c:v>
                </c:pt>
                <c:pt idx="55">
                  <c:v>Липецкая область</c:v>
                </c:pt>
                <c:pt idx="56">
                  <c:v>Республика Адыгея (Адыгея)</c:v>
                </c:pt>
                <c:pt idx="57">
                  <c:v>Калужская область</c:v>
                </c:pt>
                <c:pt idx="58">
                  <c:v>Костромская область</c:v>
                </c:pt>
                <c:pt idx="59">
                  <c:v>Тверская область</c:v>
                </c:pt>
                <c:pt idx="60">
                  <c:v>Республика Татарстан (Татарстан)</c:v>
                </c:pt>
                <c:pt idx="61">
                  <c:v>Республика Тыва</c:v>
                </c:pt>
                <c:pt idx="62">
                  <c:v>Красноярский край</c:v>
                </c:pt>
                <c:pt idx="63">
                  <c:v>Орловская область</c:v>
                </c:pt>
                <c:pt idx="64">
                  <c:v>Оренбургская область</c:v>
                </c:pt>
                <c:pt idx="65">
                  <c:v>Курганская область</c:v>
                </c:pt>
                <c:pt idx="66">
                  <c:v>Республика Северная Осетия-Алания</c:v>
                </c:pt>
                <c:pt idx="67">
                  <c:v>Кемеровская область</c:v>
                </c:pt>
                <c:pt idx="68">
                  <c:v>Алтайский край</c:v>
                </c:pt>
                <c:pt idx="69">
                  <c:v>Кировская область</c:v>
                </c:pt>
                <c:pt idx="70">
                  <c:v>Забайкальский край</c:v>
                </c:pt>
                <c:pt idx="71">
                  <c:v>Камчатский край</c:v>
                </c:pt>
                <c:pt idx="72">
                  <c:v>Республика Хакасия</c:v>
                </c:pt>
                <c:pt idx="73">
                  <c:v>Псковская область</c:v>
                </c:pt>
                <c:pt idx="74">
                  <c:v>Республика Алтай</c:v>
                </c:pt>
                <c:pt idx="75">
                  <c:v>Тамбовская область</c:v>
                </c:pt>
                <c:pt idx="76">
                  <c:v>Вологодская область</c:v>
                </c:pt>
                <c:pt idx="77">
                  <c:v>Республика Мордовия</c:v>
                </c:pt>
                <c:pt idx="78">
                  <c:v>Ханты-Мансийский автономный округ - Югра</c:v>
                </c:pt>
                <c:pt idx="79">
                  <c:v>Тюменская область</c:v>
                </c:pt>
                <c:pt idx="80">
                  <c:v>Самарская область</c:v>
                </c:pt>
                <c:pt idx="81">
                  <c:v>Свердловская область</c:v>
                </c:pt>
                <c:pt idx="82">
                  <c:v>Республика Марий Эл</c:v>
                </c:pt>
                <c:pt idx="83">
                  <c:v>Республика Коми</c:v>
                </c:pt>
              </c:strCache>
            </c:strRef>
          </c:cat>
          <c:val>
            <c:numRef>
              <c:f>Лист5!$M$5:$M$88</c:f>
              <c:numCache>
                <c:formatCode>_-* #,##0.0000_р_._-;\-* #,##0.0000_р_._-;_-* "-"??_р_._-;_-@_-</c:formatCode>
                <c:ptCount val="84"/>
                <c:pt idx="0" formatCode="_(* #,##0.00_);_(* \(#,##0.00\);_(* &quot;-&quot;??_);_(@_)">
                  <c:v>0</c:v>
                </c:pt>
                <c:pt idx="1">
                  <c:v>2.1602787456445992E-4</c:v>
                </c:pt>
                <c:pt idx="2">
                  <c:v>6.9517590056878027E-4</c:v>
                </c:pt>
                <c:pt idx="3">
                  <c:v>3.8120238830553839E-3</c:v>
                </c:pt>
                <c:pt idx="4" formatCode="_(* #,##0.00_);_(* \(#,##0.00\);_(* &quot;-&quot;??_);_(@_)">
                  <c:v>5.3882406598000834E-3</c:v>
                </c:pt>
                <c:pt idx="5" formatCode="_(* #,##0.00_);_(* \(#,##0.00\);_(* &quot;-&quot;??_);_(@_)">
                  <c:v>9.740914794675589E-3</c:v>
                </c:pt>
                <c:pt idx="6" formatCode="_(* #,##0.00_);_(* \(#,##0.00\);_(* &quot;-&quot;??_);_(@_)">
                  <c:v>1.1951440595662027E-2</c:v>
                </c:pt>
                <c:pt idx="7" formatCode="_(* #,##0.00_);_(* \(#,##0.00\);_(* &quot;-&quot;??_);_(@_)">
                  <c:v>1.2581336053034166E-2</c:v>
                </c:pt>
                <c:pt idx="8" formatCode="_(* #,##0.00_);_(* \(#,##0.00\);_(* &quot;-&quot;??_);_(@_)">
                  <c:v>1.2993119266055045E-2</c:v>
                </c:pt>
                <c:pt idx="9" formatCode="_(* #,##0.00_);_(* \(#,##0.00\);_(* &quot;-&quot;??_);_(@_)">
                  <c:v>1.3437139085959412E-2</c:v>
                </c:pt>
                <c:pt idx="10" formatCode="_(* #,##0.00_);_(* \(#,##0.00\);_(* &quot;-&quot;??_);_(@_)">
                  <c:v>1.3623339658444023E-2</c:v>
                </c:pt>
                <c:pt idx="11" formatCode="_(* #,##0.00_);_(* \(#,##0.00\);_(* &quot;-&quot;??_);_(@_)">
                  <c:v>1.3838183934807916E-2</c:v>
                </c:pt>
                <c:pt idx="12" formatCode="_(* #,##0.00_);_(* \(#,##0.00\);_(* &quot;-&quot;??_);_(@_)">
                  <c:v>1.5482438433589018E-2</c:v>
                </c:pt>
                <c:pt idx="13" formatCode="_(* #,##0.00_);_(* \(#,##0.00\);_(* &quot;-&quot;??_);_(@_)">
                  <c:v>1.5621273858031311E-2</c:v>
                </c:pt>
                <c:pt idx="14" formatCode="_(* #,##0.00_);_(* \(#,##0.00\);_(* &quot;-&quot;??_);_(@_)">
                  <c:v>1.9831391185469695E-2</c:v>
                </c:pt>
                <c:pt idx="15" formatCode="_(* #,##0.00_);_(* \(#,##0.00\);_(* &quot;-&quot;??_);_(@_)">
                  <c:v>2.0623560129012442E-2</c:v>
                </c:pt>
                <c:pt idx="16" formatCode="_(* #,##0.00_);_(* \(#,##0.00\);_(* &quot;-&quot;??_);_(@_)">
                  <c:v>2.4867820613690007E-2</c:v>
                </c:pt>
                <c:pt idx="17" formatCode="_(* #,##0.00_);_(* \(#,##0.00\);_(* &quot;-&quot;??_);_(@_)">
                  <c:v>2.7565026818155602E-2</c:v>
                </c:pt>
                <c:pt idx="18" formatCode="_(* #,##0.00_);_(* \(#,##0.00\);_(* &quot;-&quot;??_);_(@_)">
                  <c:v>2.9583064226767132E-2</c:v>
                </c:pt>
                <c:pt idx="19" formatCode="_(* #,##0.00_);_(* \(#,##0.00\);_(* &quot;-&quot;??_);_(@_)">
                  <c:v>3.1086701403558185E-2</c:v>
                </c:pt>
                <c:pt idx="20" formatCode="_(* #,##0.00_);_(* \(#,##0.00\);_(* &quot;-&quot;??_);_(@_)">
                  <c:v>3.1602683563175547E-2</c:v>
                </c:pt>
                <c:pt idx="21" formatCode="_(* #,##0.00_);_(* \(#,##0.00\);_(* &quot;-&quot;??_);_(@_)">
                  <c:v>3.1898177247014457E-2</c:v>
                </c:pt>
                <c:pt idx="22" formatCode="_(* #,##0.00_);_(* \(#,##0.00\);_(* &quot;-&quot;??_);_(@_)">
                  <c:v>3.5124022346368716E-2</c:v>
                </c:pt>
                <c:pt idx="23" formatCode="_(* #,##0.00_);_(* \(#,##0.00\);_(* &quot;-&quot;??_);_(@_)">
                  <c:v>3.5152689798619643E-2</c:v>
                </c:pt>
                <c:pt idx="24" formatCode="_(* #,##0.00_);_(* \(#,##0.00\);_(* &quot;-&quot;??_);_(@_)">
                  <c:v>3.7694861572228316E-2</c:v>
                </c:pt>
                <c:pt idx="25" formatCode="_(* #,##0.00_);_(* \(#,##0.00\);_(* &quot;-&quot;??_);_(@_)">
                  <c:v>3.8791045940254273E-2</c:v>
                </c:pt>
                <c:pt idx="26" formatCode="_(* #,##0.00_);_(* \(#,##0.00\);_(* &quot;-&quot;??_);_(@_)">
                  <c:v>4.7901563701614969E-2</c:v>
                </c:pt>
                <c:pt idx="27" formatCode="_(* #,##0.00_);_(* \(#,##0.00\);_(* &quot;-&quot;??_);_(@_)">
                  <c:v>5.2730518067043972E-2</c:v>
                </c:pt>
                <c:pt idx="28" formatCode="_(* #,##0.00_);_(* \(#,##0.00\);_(* &quot;-&quot;??_);_(@_)">
                  <c:v>5.6089989536100456E-2</c:v>
                </c:pt>
                <c:pt idx="29" formatCode="_(* #,##0.00_);_(* \(#,##0.00\);_(* &quot;-&quot;??_);_(@_)">
                  <c:v>5.7164015878893297E-2</c:v>
                </c:pt>
                <c:pt idx="30" formatCode="_(* #,##0.00_);_(* \(#,##0.00\);_(* &quot;-&quot;??_);_(@_)">
                  <c:v>5.813717795598021E-2</c:v>
                </c:pt>
                <c:pt idx="31" formatCode="_(* #,##0.00_);_(* \(#,##0.00\);_(* &quot;-&quot;??_);_(@_)">
                  <c:v>5.8789172572794805E-2</c:v>
                </c:pt>
                <c:pt idx="32" formatCode="_(* #,##0.00_);_(* \(#,##0.00\);_(* &quot;-&quot;??_);_(@_)">
                  <c:v>6.1793103448275863E-2</c:v>
                </c:pt>
                <c:pt idx="33" formatCode="_(* #,##0.00_);_(* \(#,##0.00\);_(* &quot;-&quot;??_);_(@_)">
                  <c:v>6.2604567927446994E-2</c:v>
                </c:pt>
                <c:pt idx="34" formatCode="_(* #,##0.00_);_(* \(#,##0.00\);_(* &quot;-&quot;??_);_(@_)">
                  <c:v>6.2846626927807736E-2</c:v>
                </c:pt>
                <c:pt idx="35" formatCode="_(* #,##0.00_);_(* \(#,##0.00\);_(* &quot;-&quot;??_);_(@_)">
                  <c:v>6.3567429406037004E-2</c:v>
                </c:pt>
                <c:pt idx="36" formatCode="_(* #,##0.00_);_(* \(#,##0.00\);_(* &quot;-&quot;??_);_(@_)">
                  <c:v>6.5925415906807103E-2</c:v>
                </c:pt>
                <c:pt idx="37" formatCode="_(* #,##0.00_);_(* \(#,##0.00\);_(* &quot;-&quot;??_);_(@_)">
                  <c:v>6.6713312835838048E-2</c:v>
                </c:pt>
                <c:pt idx="38" formatCode="_(* #,##0.00_);_(* \(#,##0.00\);_(* &quot;-&quot;??_);_(@_)">
                  <c:v>6.6972462246628436E-2</c:v>
                </c:pt>
                <c:pt idx="39" formatCode="_(* #,##0.00_);_(* \(#,##0.00\);_(* &quot;-&quot;??_);_(@_)">
                  <c:v>6.9922929978262299E-2</c:v>
                </c:pt>
                <c:pt idx="40" formatCode="_(* #,##0.00_);_(* \(#,##0.00\);_(* &quot;-&quot;??_);_(@_)">
                  <c:v>7.4576583801122698E-2</c:v>
                </c:pt>
                <c:pt idx="41" formatCode="_(* #,##0.00_);_(* \(#,##0.00\);_(* &quot;-&quot;??_);_(@_)">
                  <c:v>7.4725390790029572E-2</c:v>
                </c:pt>
                <c:pt idx="42" formatCode="_(* #,##0.00_);_(* \(#,##0.00\);_(* &quot;-&quot;??_);_(@_)">
                  <c:v>7.9073917064899024E-2</c:v>
                </c:pt>
                <c:pt idx="43" formatCode="_(* #,##0.00_);_(* \(#,##0.00\);_(* &quot;-&quot;??_);_(@_)">
                  <c:v>7.9613935969868169E-2</c:v>
                </c:pt>
                <c:pt idx="44" formatCode="_(* #,##0.00_);_(* \(#,##0.00\);_(* &quot;-&quot;??_);_(@_)">
                  <c:v>8.0867605188231578E-2</c:v>
                </c:pt>
                <c:pt idx="45" formatCode="_(* #,##0.00_);_(* \(#,##0.00\);_(* &quot;-&quot;??_);_(@_)">
                  <c:v>8.455583756345178E-2</c:v>
                </c:pt>
                <c:pt idx="46" formatCode="_(* #,##0.00_);_(* \(#,##0.00\);_(* &quot;-&quot;??_);_(@_)">
                  <c:v>8.7736647923476338E-2</c:v>
                </c:pt>
                <c:pt idx="47" formatCode="_(* #,##0.00_);_(* \(#,##0.00\);_(* &quot;-&quot;??_);_(@_)">
                  <c:v>8.957480068782242E-2</c:v>
                </c:pt>
                <c:pt idx="48" formatCode="_(* #,##0.00_);_(* \(#,##0.00\);_(* &quot;-&quot;??_);_(@_)">
                  <c:v>9.1005080978088279E-2</c:v>
                </c:pt>
                <c:pt idx="49" formatCode="_(* #,##0.00_);_(* \(#,##0.00\);_(* &quot;-&quot;??_);_(@_)">
                  <c:v>9.1540453074433661E-2</c:v>
                </c:pt>
                <c:pt idx="50" formatCode="_(* #,##0.00_);_(* \(#,##0.00\);_(* &quot;-&quot;??_);_(@_)">
                  <c:v>9.1708681438430806E-2</c:v>
                </c:pt>
                <c:pt idx="51" formatCode="_(* #,##0.00_);_(* \(#,##0.00\);_(* &quot;-&quot;??_);_(@_)">
                  <c:v>9.3098039215686268E-2</c:v>
                </c:pt>
                <c:pt idx="52" formatCode="_(* #,##0.00_);_(* \(#,##0.00\);_(* &quot;-&quot;??_);_(@_)">
                  <c:v>9.9470326108973064E-2</c:v>
                </c:pt>
                <c:pt idx="53" formatCode="_(* #,##0.00_);_(* \(#,##0.00\);_(* &quot;-&quot;??_);_(@_)">
                  <c:v>0.10374083227040816</c:v>
                </c:pt>
                <c:pt idx="54" formatCode="_(* #,##0.00_);_(* \(#,##0.00\);_(* &quot;-&quot;??_);_(@_)">
                  <c:v>0.1045996790299572</c:v>
                </c:pt>
                <c:pt idx="55" formatCode="_(* #,##0.00_);_(* \(#,##0.00\);_(* &quot;-&quot;??_);_(@_)">
                  <c:v>0.11081567887468909</c:v>
                </c:pt>
                <c:pt idx="56" formatCode="_(* #,##0.00_);_(* \(#,##0.00\);_(* &quot;-&quot;??_);_(@_)">
                  <c:v>0.11461573236889692</c:v>
                </c:pt>
                <c:pt idx="57" formatCode="_(* #,##0.00_);_(* \(#,##0.00\);_(* &quot;-&quot;??_);_(@_)">
                  <c:v>0.11658004364213449</c:v>
                </c:pt>
                <c:pt idx="58" formatCode="_(* #,##0.00_);_(* \(#,##0.00\);_(* &quot;-&quot;??_);_(@_)">
                  <c:v>0.12037624660018133</c:v>
                </c:pt>
                <c:pt idx="59" formatCode="_(* #,##0.00_);_(* \(#,##0.00\);_(* &quot;-&quot;??_);_(@_)">
                  <c:v>0.12547459395023097</c:v>
                </c:pt>
                <c:pt idx="60" formatCode="_(* #,##0.00_);_(* \(#,##0.00\);_(* &quot;-&quot;??_);_(@_)">
                  <c:v>0.12742006731173749</c:v>
                </c:pt>
                <c:pt idx="61" formatCode="_(* #,##0.00_);_(* \(#,##0.00\);_(* &quot;-&quot;??_);_(@_)">
                  <c:v>0.12906593406593406</c:v>
                </c:pt>
                <c:pt idx="62" formatCode="_(* #,##0.00_);_(* \(#,##0.00\);_(* &quot;-&quot;??_);_(@_)">
                  <c:v>0.12990839909808344</c:v>
                </c:pt>
                <c:pt idx="63" formatCode="_(* #,##0.00_);_(* \(#,##0.00\);_(* &quot;-&quot;??_);_(@_)">
                  <c:v>0.13329066939715858</c:v>
                </c:pt>
                <c:pt idx="64" formatCode="_(* #,##0.00_);_(* \(#,##0.00\);_(* &quot;-&quot;??_);_(@_)">
                  <c:v>0.13358205267579187</c:v>
                </c:pt>
                <c:pt idx="65" formatCode="_(* #,##0.00_);_(* \(#,##0.00\);_(* &quot;-&quot;??_);_(@_)">
                  <c:v>0.13542563873703001</c:v>
                </c:pt>
                <c:pt idx="66" formatCode="_(* #,##0.00_);_(* \(#,##0.00\);_(* &quot;-&quot;??_);_(@_)">
                  <c:v>0.14124118476727801</c:v>
                </c:pt>
                <c:pt idx="67" formatCode="_(* #,##0.00_);_(* \(#,##0.00\);_(* &quot;-&quot;??_);_(@_)">
                  <c:v>0.14750036353060927</c:v>
                </c:pt>
                <c:pt idx="68" formatCode="_(* #,##0.00_);_(* \(#,##0.00\);_(* &quot;-&quot;??_);_(@_)">
                  <c:v>0.16686191425722832</c:v>
                </c:pt>
                <c:pt idx="69" formatCode="_(* #,##0.00_);_(* \(#,##0.00\);_(* &quot;-&quot;??_);_(@_)">
                  <c:v>0.17201295278258905</c:v>
                </c:pt>
                <c:pt idx="70" formatCode="_(* #,##0.00_);_(* \(#,##0.00\);_(* &quot;-&quot;??_);_(@_)">
                  <c:v>0.17844460614880844</c:v>
                </c:pt>
                <c:pt idx="71" formatCode="_(* #,##0.00_);_(* \(#,##0.00\);_(* &quot;-&quot;??_);_(@_)">
                  <c:v>0.18375078076202372</c:v>
                </c:pt>
                <c:pt idx="72" formatCode="_(* #,##0.00_);_(* \(#,##0.00\);_(* &quot;-&quot;??_);_(@_)">
                  <c:v>0.19323562570462233</c:v>
                </c:pt>
                <c:pt idx="73" formatCode="_(* #,##0.00_);_(* \(#,##0.00\);_(* &quot;-&quot;??_);_(@_)">
                  <c:v>0.19955165692007798</c:v>
                </c:pt>
                <c:pt idx="74" formatCode="_(* #,##0.00_);_(* \(#,##0.00\);_(* &quot;-&quot;??_);_(@_)">
                  <c:v>0.21388195777351249</c:v>
                </c:pt>
                <c:pt idx="75" formatCode="_(* #,##0.00_);_(* \(#,##0.00\);_(* &quot;-&quot;??_);_(@_)">
                  <c:v>0.21602069092924442</c:v>
                </c:pt>
                <c:pt idx="76" formatCode="_(* #,##0.00_);_(* \(#,##0.00\);_(* &quot;-&quot;??_);_(@_)">
                  <c:v>0.21666416353775553</c:v>
                </c:pt>
                <c:pt idx="77" formatCode="_(* #,##0.00_);_(* \(#,##0.00\);_(* &quot;-&quot;??_);_(@_)">
                  <c:v>0.22354979403925371</c:v>
                </c:pt>
                <c:pt idx="78" formatCode="_(* #,##0.00_);_(* \(#,##0.00\);_(* &quot;-&quot;??_);_(@_)">
                  <c:v>0.22474891109403022</c:v>
                </c:pt>
                <c:pt idx="79" formatCode="_(* #,##0.00_);_(* \(#,##0.00\);_(* &quot;-&quot;??_);_(@_)">
                  <c:v>0.24316906580493536</c:v>
                </c:pt>
                <c:pt idx="80" formatCode="_(* #,##0.00_);_(* \(#,##0.00\);_(* &quot;-&quot;??_);_(@_)">
                  <c:v>0.24318907314644847</c:v>
                </c:pt>
                <c:pt idx="81" formatCode="_(* #,##0.00_);_(* \(#,##0.00\);_(* &quot;-&quot;??_);_(@_)">
                  <c:v>0.28736999721422601</c:v>
                </c:pt>
                <c:pt idx="82" formatCode="_(* #,##0.00_);_(* \(#,##0.00\);_(* &quot;-&quot;??_);_(@_)">
                  <c:v>0.33623339110340844</c:v>
                </c:pt>
                <c:pt idx="83" formatCode="_(* #,##0.00_);_(* \(#,##0.00\);_(* &quot;-&quot;??_);_(@_)">
                  <c:v>0.379602157788267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613440"/>
        <c:axId val="89614976"/>
      </c:barChart>
      <c:catAx>
        <c:axId val="896134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89614976"/>
        <c:crosses val="autoZero"/>
        <c:auto val="1"/>
        <c:lblAlgn val="ctr"/>
        <c:lblOffset val="100"/>
        <c:tickLblSkip val="1"/>
        <c:noMultiLvlLbl val="0"/>
      </c:catAx>
      <c:valAx>
        <c:axId val="89614976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89613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7192-CDF9-4C2E-99E5-8F2E85AB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6027</Words>
  <Characters>34356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Andreeva</dc:creator>
  <cp:keywords/>
  <dc:description/>
  <cp:lastModifiedBy>Antonina Kovalevskaya</cp:lastModifiedBy>
  <cp:revision>14</cp:revision>
  <dcterms:created xsi:type="dcterms:W3CDTF">2014-02-18T14:51:00Z</dcterms:created>
  <dcterms:modified xsi:type="dcterms:W3CDTF">2014-10-03T09:14:00Z</dcterms:modified>
</cp:coreProperties>
</file>